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F23A18" w:rsidRDefault="00F23A18" w:rsidP="00F23A18">
      <w:pPr>
        <w:pStyle w:val="NormaleWeb"/>
        <w:shd w:val="clear" w:color="auto" w:fill="FFFFFF"/>
        <w:spacing w:before="0" w:beforeAutospacing="0" w:after="0" w:afterAutospacing="0"/>
        <w:jc w:val="center"/>
        <w:rPr>
          <w:color w:val="201F1E"/>
        </w:rPr>
      </w:pPr>
      <w:r>
        <w:rPr>
          <w:rFonts w:ascii="Arial" w:hAnsi="Arial" w:cs="Arial"/>
          <w:b/>
          <w:bCs/>
          <w:color w:val="000000"/>
          <w:sz w:val="32"/>
          <w:szCs w:val="32"/>
          <w:bdr w:val="none" w:sz="0" w:space="0" w:color="auto" w:frame="1"/>
        </w:rPr>
        <w:t xml:space="preserve">UNIVERSITÀ DEGLI STUDI </w:t>
      </w:r>
      <w:proofErr w:type="spellStart"/>
      <w:r>
        <w:rPr>
          <w:rFonts w:ascii="Arial" w:hAnsi="Arial" w:cs="Arial"/>
          <w:b/>
          <w:bCs/>
          <w:color w:val="000000"/>
          <w:sz w:val="32"/>
          <w:szCs w:val="32"/>
          <w:bdr w:val="none" w:sz="0" w:space="0" w:color="auto" w:frame="1"/>
        </w:rPr>
        <w:t>DI</w:t>
      </w:r>
      <w:proofErr w:type="spellEnd"/>
      <w:r>
        <w:rPr>
          <w:rFonts w:ascii="Arial" w:hAnsi="Arial" w:cs="Arial"/>
          <w:b/>
          <w:bCs/>
          <w:color w:val="000000"/>
          <w:sz w:val="32"/>
          <w:szCs w:val="32"/>
          <w:bdr w:val="none" w:sz="0" w:space="0" w:color="auto" w:frame="1"/>
        </w:rPr>
        <w:t xml:space="preserve"> PERUGIA </w:t>
      </w:r>
    </w:p>
    <w:p w:rsidR="00F23A18" w:rsidRDefault="00F23A18" w:rsidP="00F23A18">
      <w:pPr>
        <w:pStyle w:val="NormaleWeb"/>
        <w:shd w:val="clear" w:color="auto" w:fill="FFFFFF"/>
        <w:spacing w:before="0" w:beforeAutospacing="0" w:after="0" w:afterAutospacing="0"/>
        <w:jc w:val="center"/>
        <w:rPr>
          <w:color w:val="201F1E"/>
        </w:rPr>
      </w:pPr>
      <w:r>
        <w:rPr>
          <w:rFonts w:ascii="Arial" w:hAnsi="Arial" w:cs="Arial"/>
          <w:color w:val="00000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center"/>
        <w:rPr>
          <w:rFonts w:ascii="Arial" w:hAnsi="Arial" w:cs="Arial"/>
          <w:color w:val="201F1E"/>
          <w:sz w:val="20"/>
          <w:szCs w:val="20"/>
        </w:rPr>
      </w:pPr>
      <w:r w:rsidRPr="00031A91">
        <w:rPr>
          <w:rStyle w:val="xfontstyle11"/>
          <w:rFonts w:ascii="Arial" w:hAnsi="Arial" w:cs="Arial"/>
          <w:b/>
          <w:bCs/>
          <w:color w:val="000000"/>
          <w:sz w:val="20"/>
          <w:szCs w:val="20"/>
          <w:bdr w:val="none" w:sz="0" w:space="0" w:color="auto" w:frame="1"/>
        </w:rPr>
        <w:t> </w:t>
      </w:r>
      <w:r w:rsidRPr="00031A91">
        <w:rPr>
          <w:rFonts w:ascii="Arial" w:hAnsi="Arial" w:cs="Arial"/>
          <w:color w:val="201F1E"/>
          <w:sz w:val="20"/>
          <w:szCs w:val="20"/>
          <w:bdr w:val="none" w:sz="0" w:space="0" w:color="auto" w:frame="1"/>
        </w:rPr>
        <w:t> </w:t>
      </w:r>
      <w:r w:rsidRPr="00031A91">
        <w:rPr>
          <w:rFonts w:ascii="Arial" w:hAnsi="Arial" w:cs="Arial"/>
          <w:b/>
          <w:bCs/>
          <w:color w:val="201F1E"/>
          <w:sz w:val="20"/>
          <w:szCs w:val="20"/>
          <w:bdr w:val="none" w:sz="0" w:space="0" w:color="auto" w:frame="1"/>
        </w:rPr>
        <w:t xml:space="preserve"> Nuova sindrome </w:t>
      </w:r>
      <w:proofErr w:type="spellStart"/>
      <w:r w:rsidRPr="00031A91">
        <w:rPr>
          <w:rFonts w:ascii="Arial" w:hAnsi="Arial" w:cs="Arial"/>
          <w:b/>
          <w:bCs/>
          <w:color w:val="201F1E"/>
          <w:sz w:val="20"/>
          <w:szCs w:val="20"/>
          <w:bdr w:val="none" w:sz="0" w:space="0" w:color="auto" w:frame="1"/>
        </w:rPr>
        <w:t>infertosessuale</w:t>
      </w:r>
      <w:proofErr w:type="spellEnd"/>
      <w:r w:rsidRPr="00031A91">
        <w:rPr>
          <w:rFonts w:ascii="Arial" w:hAnsi="Arial" w:cs="Arial"/>
          <w:b/>
          <w:bCs/>
          <w:color w:val="201F1E"/>
          <w:sz w:val="20"/>
          <w:szCs w:val="20"/>
          <w:bdr w:val="none" w:sz="0" w:space="0" w:color="auto" w:frame="1"/>
        </w:rPr>
        <w:t xml:space="preserve"> che colpisce le coppie sterili </w:t>
      </w:r>
    </w:p>
    <w:p w:rsidR="00F23A18" w:rsidRPr="00031A91" w:rsidRDefault="00F23A18" w:rsidP="00F23A18">
      <w:pPr>
        <w:pStyle w:val="xmsonormal"/>
        <w:shd w:val="clear" w:color="auto" w:fill="FFFFFF"/>
        <w:spacing w:before="0" w:beforeAutospacing="0" w:after="0" w:afterAutospacing="0" w:line="276" w:lineRule="atLeast"/>
        <w:jc w:val="center"/>
        <w:rPr>
          <w:rFonts w:ascii="Arial" w:hAnsi="Arial" w:cs="Arial"/>
          <w:color w:val="201F1E"/>
          <w:sz w:val="20"/>
          <w:szCs w:val="20"/>
        </w:rPr>
      </w:pPr>
      <w:r w:rsidRPr="00031A91">
        <w:rPr>
          <w:rFonts w:ascii="Arial" w:hAnsi="Arial" w:cs="Arial"/>
          <w:b/>
          <w:bCs/>
          <w:color w:val="201F1E"/>
          <w:sz w:val="20"/>
          <w:szCs w:val="20"/>
          <w:bdr w:val="none" w:sz="0" w:space="0" w:color="auto" w:frame="1"/>
        </w:rPr>
        <w:t xml:space="preserve">identificata da ricercatori </w:t>
      </w:r>
      <w:proofErr w:type="spellStart"/>
      <w:r w:rsidRPr="00031A91">
        <w:rPr>
          <w:rFonts w:ascii="Arial" w:hAnsi="Arial" w:cs="Arial"/>
          <w:b/>
          <w:bCs/>
          <w:color w:val="201F1E"/>
          <w:sz w:val="20"/>
          <w:szCs w:val="20"/>
          <w:bdr w:val="none" w:sz="0" w:space="0" w:color="auto" w:frame="1"/>
        </w:rPr>
        <w:t>Unipg</w:t>
      </w:r>
      <w:proofErr w:type="spellEnd"/>
      <w:r w:rsidRPr="00031A91">
        <w:rPr>
          <w:rFonts w:ascii="Arial" w:hAnsi="Arial" w:cs="Arial"/>
          <w:b/>
          <w:bCs/>
          <w:color w:val="201F1E"/>
          <w:sz w:val="20"/>
          <w:szCs w:val="20"/>
          <w:bdr w:val="none" w:sz="0" w:space="0" w:color="auto" w:frame="1"/>
        </w:rPr>
        <w:t xml:space="preserve"> e Roma </w:t>
      </w:r>
      <w:proofErr w:type="spellStart"/>
      <w:r w:rsidRPr="00031A91">
        <w:rPr>
          <w:rFonts w:ascii="Arial" w:hAnsi="Arial" w:cs="Arial"/>
          <w:b/>
          <w:bCs/>
          <w:color w:val="201F1E"/>
          <w:sz w:val="20"/>
          <w:szCs w:val="20"/>
          <w:bdr w:val="none" w:sz="0" w:space="0" w:color="auto" w:frame="1"/>
        </w:rPr>
        <w:t>Tor</w:t>
      </w:r>
      <w:proofErr w:type="spellEnd"/>
      <w:r w:rsidRPr="00031A91">
        <w:rPr>
          <w:rFonts w:ascii="Arial" w:hAnsi="Arial" w:cs="Arial"/>
          <w:b/>
          <w:bCs/>
          <w:color w:val="201F1E"/>
          <w:sz w:val="20"/>
          <w:szCs w:val="20"/>
          <w:bdr w:val="none" w:sz="0" w:space="0" w:color="auto" w:frame="1"/>
        </w:rPr>
        <w:t xml:space="preserve"> Vergata</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i/>
          <w:iCs/>
          <w:color w:val="201F1E"/>
          <w:sz w:val="20"/>
          <w:szCs w:val="2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i/>
          <w:iCs/>
          <w:color w:val="201F1E"/>
          <w:sz w:val="20"/>
          <w:szCs w:val="20"/>
          <w:bdr w:val="none" w:sz="0" w:space="0" w:color="auto" w:frame="1"/>
        </w:rPr>
        <w:t>La medicina della riproduzione e quella della sessualità finora hanno proceduto come binari paralleli ma assai poco collegati.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i/>
          <w:iCs/>
          <w:color w:val="201F1E"/>
          <w:sz w:val="20"/>
          <w:szCs w:val="20"/>
          <w:bdr w:val="none" w:sz="0" w:space="0" w:color="auto" w:frame="1"/>
        </w:rPr>
        <w:t xml:space="preserve">Gli andrologi e i medici della sessualità delle Università degli Studi di Perugia e Roma </w:t>
      </w:r>
      <w:proofErr w:type="spellStart"/>
      <w:r w:rsidRPr="00031A91">
        <w:rPr>
          <w:rFonts w:ascii="Arial" w:hAnsi="Arial" w:cs="Arial"/>
          <w:i/>
          <w:iCs/>
          <w:color w:val="201F1E"/>
          <w:sz w:val="20"/>
          <w:szCs w:val="20"/>
          <w:bdr w:val="none" w:sz="0" w:space="0" w:color="auto" w:frame="1"/>
        </w:rPr>
        <w:t>Tor</w:t>
      </w:r>
      <w:proofErr w:type="spellEnd"/>
      <w:r w:rsidRPr="00031A91">
        <w:rPr>
          <w:rFonts w:ascii="Arial" w:hAnsi="Arial" w:cs="Arial"/>
          <w:i/>
          <w:iCs/>
          <w:color w:val="201F1E"/>
          <w:sz w:val="20"/>
          <w:szCs w:val="20"/>
          <w:bdr w:val="none" w:sz="0" w:space="0" w:color="auto" w:frame="1"/>
        </w:rPr>
        <w:t xml:space="preserve"> Vergata hanno colmato questa separazione riconoscendo che se da una parte le disfunzioni sessuali maschili e femminili possono essere una causa – non sempre ben studiata e riconosciuta – di infertilità di coppia; la stessa infertilità e le cure per essa – se non gestita in un team che comprende anche il medico della sessualità -, può generare in entrambi sintomi sessuali con un grande impatto sulla salute sessuale.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i/>
          <w:iCs/>
          <w:color w:val="201F1E"/>
          <w:sz w:val="20"/>
          <w:szCs w:val="20"/>
          <w:bdr w:val="none" w:sz="0" w:space="0" w:color="auto" w:frame="1"/>
        </w:rPr>
      </w:pPr>
      <w:r w:rsidRPr="00031A91">
        <w:rPr>
          <w:rFonts w:ascii="Arial" w:hAnsi="Arial" w:cs="Arial"/>
          <w:i/>
          <w:iCs/>
          <w:color w:val="201F1E"/>
          <w:sz w:val="20"/>
          <w:szCs w:val="20"/>
          <w:bdr w:val="none" w:sz="0" w:space="0" w:color="auto" w:frame="1"/>
        </w:rPr>
        <w:t xml:space="preserve">Il nuovo termine medico ‘Sindrome </w:t>
      </w:r>
      <w:proofErr w:type="spellStart"/>
      <w:r w:rsidRPr="00031A91">
        <w:rPr>
          <w:rFonts w:ascii="Arial" w:hAnsi="Arial" w:cs="Arial"/>
          <w:i/>
          <w:iCs/>
          <w:color w:val="201F1E"/>
          <w:sz w:val="20"/>
          <w:szCs w:val="20"/>
          <w:bdr w:val="none" w:sz="0" w:space="0" w:color="auto" w:frame="1"/>
        </w:rPr>
        <w:t>Infertosessuale</w:t>
      </w:r>
      <w:proofErr w:type="spellEnd"/>
      <w:r w:rsidRPr="00031A91">
        <w:rPr>
          <w:rFonts w:ascii="Arial" w:hAnsi="Arial" w:cs="Arial"/>
          <w:i/>
          <w:iCs/>
          <w:color w:val="201F1E"/>
          <w:sz w:val="20"/>
          <w:szCs w:val="20"/>
          <w:bdr w:val="none" w:sz="0" w:space="0" w:color="auto" w:frame="1"/>
        </w:rPr>
        <w:t>’ identifica proprio questo circolo vizioso, offrendo gli strumenti scientifici per interromperlo.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br/>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Un team di ricercatori composto da scienziati delle Università degli Studi di Perugia (Prof. </w:t>
      </w:r>
      <w:r w:rsidRPr="00031A91">
        <w:rPr>
          <w:rFonts w:ascii="Arial" w:hAnsi="Arial" w:cs="Arial"/>
          <w:b/>
          <w:bCs/>
          <w:color w:val="201F1E"/>
          <w:sz w:val="20"/>
          <w:szCs w:val="20"/>
          <w:bdr w:val="none" w:sz="0" w:space="0" w:color="auto" w:frame="1"/>
        </w:rPr>
        <w:t>Giovanni Luca</w:t>
      </w:r>
      <w:r w:rsidRPr="00031A91">
        <w:rPr>
          <w:rFonts w:ascii="Arial" w:hAnsi="Arial" w:cs="Arial"/>
          <w:color w:val="201F1E"/>
          <w:sz w:val="20"/>
          <w:szCs w:val="20"/>
          <w:bdr w:val="none" w:sz="0" w:space="0" w:color="auto" w:frame="1"/>
        </w:rPr>
        <w:t>, Prof. </w:t>
      </w:r>
      <w:r w:rsidRPr="00031A91">
        <w:rPr>
          <w:rFonts w:ascii="Arial" w:hAnsi="Arial" w:cs="Arial"/>
          <w:b/>
          <w:bCs/>
          <w:color w:val="201F1E"/>
          <w:sz w:val="20"/>
          <w:szCs w:val="20"/>
          <w:bdr w:val="none" w:sz="0" w:space="0" w:color="auto" w:frame="1"/>
        </w:rPr>
        <w:t xml:space="preserve">Riccardo </w:t>
      </w:r>
      <w:proofErr w:type="spellStart"/>
      <w:r w:rsidRPr="00031A91">
        <w:rPr>
          <w:rFonts w:ascii="Arial" w:hAnsi="Arial" w:cs="Arial"/>
          <w:b/>
          <w:bCs/>
          <w:color w:val="201F1E"/>
          <w:sz w:val="20"/>
          <w:szCs w:val="20"/>
          <w:bdr w:val="none" w:sz="0" w:space="0" w:color="auto" w:frame="1"/>
        </w:rPr>
        <w:t>Calafiore</w:t>
      </w:r>
      <w:proofErr w:type="spellEnd"/>
      <w:r w:rsidRPr="00031A91">
        <w:rPr>
          <w:rFonts w:ascii="Arial" w:hAnsi="Arial" w:cs="Arial"/>
          <w:color w:val="201F1E"/>
          <w:sz w:val="20"/>
          <w:szCs w:val="20"/>
          <w:bdr w:val="none" w:sz="0" w:space="0" w:color="auto" w:frame="1"/>
        </w:rPr>
        <w:t> e Dott.ssa </w:t>
      </w:r>
      <w:r w:rsidRPr="00031A91">
        <w:rPr>
          <w:rFonts w:ascii="Arial" w:hAnsi="Arial" w:cs="Arial"/>
          <w:b/>
          <w:bCs/>
          <w:color w:val="201F1E"/>
          <w:sz w:val="20"/>
          <w:szCs w:val="20"/>
          <w:bdr w:val="none" w:sz="0" w:space="0" w:color="auto" w:frame="1"/>
        </w:rPr>
        <w:t xml:space="preserve">Sara </w:t>
      </w:r>
      <w:proofErr w:type="spellStart"/>
      <w:r w:rsidRPr="00031A91">
        <w:rPr>
          <w:rFonts w:ascii="Arial" w:hAnsi="Arial" w:cs="Arial"/>
          <w:b/>
          <w:bCs/>
          <w:color w:val="201F1E"/>
          <w:sz w:val="20"/>
          <w:szCs w:val="20"/>
          <w:bdr w:val="none" w:sz="0" w:space="0" w:color="auto" w:frame="1"/>
        </w:rPr>
        <w:t>Parrettini</w:t>
      </w:r>
      <w:proofErr w:type="spellEnd"/>
      <w:r w:rsidRPr="00031A91">
        <w:rPr>
          <w:rFonts w:ascii="Arial" w:hAnsi="Arial" w:cs="Arial"/>
          <w:color w:val="201F1E"/>
          <w:sz w:val="20"/>
          <w:szCs w:val="20"/>
          <w:bdr w:val="none" w:sz="0" w:space="0" w:color="auto" w:frame="1"/>
        </w:rPr>
        <w:t>) e </w:t>
      </w:r>
      <w:r w:rsidRPr="00031A91">
        <w:rPr>
          <w:rFonts w:ascii="Arial" w:hAnsi="Arial" w:cs="Arial"/>
          <w:color w:val="000000"/>
          <w:sz w:val="20"/>
          <w:szCs w:val="20"/>
          <w:bdr w:val="none" w:sz="0" w:space="0" w:color="auto" w:frame="1"/>
          <w:shd w:val="clear" w:color="auto" w:fill="FFFFFF"/>
        </w:rPr>
        <w:t xml:space="preserve">Università di Roma </w:t>
      </w:r>
      <w:proofErr w:type="spellStart"/>
      <w:r w:rsidRPr="00031A91">
        <w:rPr>
          <w:rFonts w:ascii="Arial" w:hAnsi="Arial" w:cs="Arial"/>
          <w:color w:val="000000"/>
          <w:sz w:val="20"/>
          <w:szCs w:val="20"/>
          <w:bdr w:val="none" w:sz="0" w:space="0" w:color="auto" w:frame="1"/>
          <w:shd w:val="clear" w:color="auto" w:fill="FFFFFF"/>
        </w:rPr>
        <w:t>Tor</w:t>
      </w:r>
      <w:proofErr w:type="spellEnd"/>
      <w:r w:rsidRPr="00031A91">
        <w:rPr>
          <w:rFonts w:ascii="Arial" w:hAnsi="Arial" w:cs="Arial"/>
          <w:color w:val="000000"/>
          <w:sz w:val="20"/>
          <w:szCs w:val="20"/>
          <w:bdr w:val="none" w:sz="0" w:space="0" w:color="auto" w:frame="1"/>
          <w:shd w:val="clear" w:color="auto" w:fill="FFFFFF"/>
        </w:rPr>
        <w:t xml:space="preserve"> Vergata (Prof. </w:t>
      </w:r>
      <w:proofErr w:type="spellStart"/>
      <w:r w:rsidRPr="00031A91">
        <w:rPr>
          <w:rFonts w:ascii="Arial" w:hAnsi="Arial" w:cs="Arial"/>
          <w:b/>
          <w:bCs/>
          <w:color w:val="000000"/>
          <w:sz w:val="20"/>
          <w:szCs w:val="20"/>
          <w:bdr w:val="none" w:sz="0" w:space="0" w:color="auto" w:frame="1"/>
          <w:shd w:val="clear" w:color="auto" w:fill="FFFFFF"/>
        </w:rPr>
        <w:t>Emmanuele</w:t>
      </w:r>
      <w:proofErr w:type="spellEnd"/>
      <w:r w:rsidRPr="00031A91">
        <w:rPr>
          <w:rFonts w:ascii="Arial" w:hAnsi="Arial" w:cs="Arial"/>
          <w:b/>
          <w:bCs/>
          <w:color w:val="000000"/>
          <w:sz w:val="20"/>
          <w:szCs w:val="20"/>
          <w:bdr w:val="none" w:sz="0" w:space="0" w:color="auto" w:frame="1"/>
          <w:shd w:val="clear" w:color="auto" w:fill="FFFFFF"/>
        </w:rPr>
        <w:t xml:space="preserve"> </w:t>
      </w:r>
      <w:proofErr w:type="spellStart"/>
      <w:r w:rsidRPr="00031A91">
        <w:rPr>
          <w:rFonts w:ascii="Arial" w:hAnsi="Arial" w:cs="Arial"/>
          <w:b/>
          <w:bCs/>
          <w:color w:val="000000"/>
          <w:sz w:val="20"/>
          <w:szCs w:val="20"/>
          <w:bdr w:val="none" w:sz="0" w:space="0" w:color="auto" w:frame="1"/>
          <w:shd w:val="clear" w:color="auto" w:fill="FFFFFF"/>
        </w:rPr>
        <w:t>Jannini</w:t>
      </w:r>
      <w:proofErr w:type="spellEnd"/>
      <w:r w:rsidRPr="00031A91">
        <w:rPr>
          <w:rFonts w:ascii="Arial" w:hAnsi="Arial" w:cs="Arial"/>
          <w:color w:val="000000"/>
          <w:sz w:val="20"/>
          <w:szCs w:val="20"/>
          <w:bdr w:val="none" w:sz="0" w:space="0" w:color="auto" w:frame="1"/>
          <w:shd w:val="clear" w:color="auto" w:fill="FFFFFF"/>
        </w:rPr>
        <w:t> - uno dei massimi esperti mondiali di medicina della sessualità - e Dott. </w:t>
      </w:r>
      <w:r w:rsidRPr="00031A91">
        <w:rPr>
          <w:rFonts w:ascii="Arial" w:hAnsi="Arial" w:cs="Arial"/>
          <w:b/>
          <w:bCs/>
          <w:color w:val="000000"/>
          <w:sz w:val="20"/>
          <w:szCs w:val="20"/>
          <w:bdr w:val="none" w:sz="0" w:space="0" w:color="auto" w:frame="1"/>
          <w:shd w:val="clear" w:color="auto" w:fill="FFFFFF"/>
        </w:rPr>
        <w:t>Andrea Sansone</w:t>
      </w:r>
      <w:r w:rsidRPr="00031A91">
        <w:rPr>
          <w:rFonts w:ascii="Arial" w:hAnsi="Arial" w:cs="Arial"/>
          <w:color w:val="000000"/>
          <w:sz w:val="20"/>
          <w:szCs w:val="20"/>
          <w:bdr w:val="none" w:sz="0" w:space="0" w:color="auto" w:frame="1"/>
          <w:shd w:val="clear" w:color="auto" w:fill="FFFFFF"/>
        </w:rPr>
        <w:t>)</w:t>
      </w:r>
      <w:r w:rsidRPr="00031A91">
        <w:rPr>
          <w:rFonts w:ascii="Arial" w:hAnsi="Arial" w:cs="Arial"/>
          <w:color w:val="201F1E"/>
          <w:sz w:val="20"/>
          <w:szCs w:val="20"/>
          <w:bdr w:val="none" w:sz="0" w:space="0" w:color="auto" w:frame="1"/>
        </w:rPr>
        <w:t>, ha effettuato un’accurata analisi della letteratura finalizzato ad individuare le ricadute dell’infertilità sulla sessualità, e ad indagare come le tecniche di procreazione medicalmente assistita (PMA) possano influire sulla salute sessuale della coppia. Il lavoro è stato </w:t>
      </w:r>
      <w:r w:rsidRPr="00031A91">
        <w:rPr>
          <w:rFonts w:ascii="Arial" w:hAnsi="Arial" w:cs="Arial"/>
          <w:color w:val="000000"/>
          <w:sz w:val="20"/>
          <w:szCs w:val="20"/>
          <w:bdr w:val="none" w:sz="0" w:space="0" w:color="auto" w:frame="1"/>
          <w:shd w:val="clear" w:color="auto" w:fill="FFFFFF"/>
        </w:rPr>
        <w:t>pubblicato sul </w:t>
      </w:r>
      <w:r w:rsidRPr="00031A91">
        <w:rPr>
          <w:rFonts w:ascii="Arial" w:hAnsi="Arial" w:cs="Arial"/>
          <w:i/>
          <w:iCs/>
          <w:color w:val="000000"/>
          <w:sz w:val="20"/>
          <w:szCs w:val="20"/>
          <w:bdr w:val="none" w:sz="0" w:space="0" w:color="auto" w:frame="1"/>
          <w:shd w:val="clear" w:color="auto" w:fill="FFFFFF"/>
        </w:rPr>
        <w:t xml:space="preserve">Journal </w:t>
      </w:r>
      <w:proofErr w:type="spellStart"/>
      <w:r w:rsidRPr="00031A91">
        <w:rPr>
          <w:rFonts w:ascii="Arial" w:hAnsi="Arial" w:cs="Arial"/>
          <w:i/>
          <w:iCs/>
          <w:color w:val="000000"/>
          <w:sz w:val="20"/>
          <w:szCs w:val="20"/>
          <w:bdr w:val="none" w:sz="0" w:space="0" w:color="auto" w:frame="1"/>
          <w:shd w:val="clear" w:color="auto" w:fill="FFFFFF"/>
        </w:rPr>
        <w:t>of</w:t>
      </w:r>
      <w:proofErr w:type="spellEnd"/>
      <w:r w:rsidRPr="00031A91">
        <w:rPr>
          <w:rFonts w:ascii="Arial" w:hAnsi="Arial" w:cs="Arial"/>
          <w:i/>
          <w:iCs/>
          <w:color w:val="000000"/>
          <w:sz w:val="20"/>
          <w:szCs w:val="20"/>
          <w:bdr w:val="none" w:sz="0" w:space="0" w:color="auto" w:frame="1"/>
          <w:shd w:val="clear" w:color="auto" w:fill="FFFFFF"/>
        </w:rPr>
        <w:t xml:space="preserve"> </w:t>
      </w:r>
      <w:proofErr w:type="spellStart"/>
      <w:r w:rsidRPr="00031A91">
        <w:rPr>
          <w:rFonts w:ascii="Arial" w:hAnsi="Arial" w:cs="Arial"/>
          <w:i/>
          <w:iCs/>
          <w:color w:val="000000"/>
          <w:sz w:val="20"/>
          <w:szCs w:val="20"/>
          <w:bdr w:val="none" w:sz="0" w:space="0" w:color="auto" w:frame="1"/>
          <w:shd w:val="clear" w:color="auto" w:fill="FFFFFF"/>
        </w:rPr>
        <w:t>Endocrinological</w:t>
      </w:r>
      <w:proofErr w:type="spellEnd"/>
      <w:r w:rsidRPr="00031A91">
        <w:rPr>
          <w:rFonts w:ascii="Arial" w:hAnsi="Arial" w:cs="Arial"/>
          <w:i/>
          <w:iCs/>
          <w:color w:val="000000"/>
          <w:sz w:val="20"/>
          <w:szCs w:val="20"/>
          <w:bdr w:val="none" w:sz="0" w:space="0" w:color="auto" w:frame="1"/>
          <w:shd w:val="clear" w:color="auto" w:fill="FFFFFF"/>
        </w:rPr>
        <w:t xml:space="preserve"> </w:t>
      </w:r>
      <w:proofErr w:type="spellStart"/>
      <w:r w:rsidRPr="00031A91">
        <w:rPr>
          <w:rFonts w:ascii="Arial" w:hAnsi="Arial" w:cs="Arial"/>
          <w:i/>
          <w:iCs/>
          <w:color w:val="000000"/>
          <w:sz w:val="20"/>
          <w:szCs w:val="20"/>
          <w:bdr w:val="none" w:sz="0" w:space="0" w:color="auto" w:frame="1"/>
          <w:shd w:val="clear" w:color="auto" w:fill="FFFFFF"/>
        </w:rPr>
        <w:t>Investigation</w:t>
      </w:r>
      <w:proofErr w:type="spellEnd"/>
      <w:r w:rsidRPr="00031A91">
        <w:rPr>
          <w:rFonts w:ascii="Arial" w:hAnsi="Arial" w:cs="Arial"/>
          <w:i/>
          <w:iCs/>
          <w:color w:val="000000"/>
          <w:sz w:val="20"/>
          <w:szCs w:val="20"/>
          <w:bdr w:val="none" w:sz="0" w:space="0" w:color="auto" w:frame="1"/>
          <w:shd w:val="clear" w:color="auto" w:fill="FFFFFF"/>
        </w:rPr>
        <w:t>.</w:t>
      </w:r>
      <w:r w:rsidRPr="00031A91">
        <w:rPr>
          <w:rFonts w:ascii="Arial" w:hAnsi="Arial" w:cs="Arial"/>
          <w:color w:val="000000"/>
          <w:sz w:val="20"/>
          <w:szCs w:val="20"/>
          <w:bdr w:val="none" w:sz="0" w:space="0" w:color="auto" w:frame="1"/>
          <w:shd w:val="clear" w:color="auto" w:fill="FFFFFF"/>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L’infertilità coinvolge circa una coppia su sei, rendendo questo problema un fenomeno sociale, oltre che sanitario, di estrema rilevanza ed attualità. Fattori maschili, femminili e di coppia sono coinvolti nella patogenesi dell’infertilità, rendendo necessaria una valutazione multidisciplinare che coinvolga numerosi specialisti al fine di valutare la presenza di fattori di rischio e le possibilità terapeutiche. Il ricorso alle tecniche di PMA ha consentito a numerose coppie di ottenere una o più gravidanze: tuttavia l’eccessiva medicalizzazione della mancata fertilità rappresenta a sua volta un fattore di rischio per ulteriori problematiche a carico della sfera della salute sessuale. Il team di ricerca ha esaminato separatamente gli effetti dell’infertilità e delle tecniche di PMA e, valutando gli effetti negli uomini, nelle donne e nelle coppie, ha coniato la definizione di una nuova sindrome in cui i disturbi della sessualità e della fertilità diventano una singola entità clinica.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Una diagnosi di infertilità si associa ad una maggior prevalenza di disfunzioni sessuali, sia negli uomini (dove si manifesta prevalentemente con disturbi dell’erezione) che nelle donne (principalmente sotto forma di desiderio sessuale ipoattivo).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In parte questo fenomeno può trovare un fattore causale nel carico psicologico e relazionale associato alla diagnosi di infertilità, spesso vissuta come “inadeguatezza” da parte del paziente nei confronti del partner: tuttavia, la perdita della “spontaneità” dei rapporti sessuali, conseguente all’indicazione a concentrare i rapporti sessuali in una specifica finestra temporale, rappresenta un ulteriore fattore di rischio per l’insorgenza di disfunzioni sessuali.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xml:space="preserve">Inoltre, la presenza di una disfunzione sessuale in un membro della coppia si traduce inevitabilmente in un coinvolgimento del/della partner, favorendo anche la progressione da forme subcliniche a clinicamente manifeste: la valutazione </w:t>
      </w:r>
      <w:proofErr w:type="spellStart"/>
      <w:r w:rsidRPr="00031A91">
        <w:rPr>
          <w:rFonts w:ascii="Arial" w:hAnsi="Arial" w:cs="Arial"/>
          <w:color w:val="201F1E"/>
          <w:sz w:val="20"/>
          <w:szCs w:val="20"/>
          <w:bdr w:val="none" w:sz="0" w:space="0" w:color="auto" w:frame="1"/>
        </w:rPr>
        <w:t>psicosessuologica</w:t>
      </w:r>
      <w:proofErr w:type="spellEnd"/>
      <w:r w:rsidRPr="00031A91">
        <w:rPr>
          <w:rFonts w:ascii="Arial" w:hAnsi="Arial" w:cs="Arial"/>
          <w:color w:val="201F1E"/>
          <w:sz w:val="20"/>
          <w:szCs w:val="20"/>
          <w:bdr w:val="none" w:sz="0" w:space="0" w:color="auto" w:frame="1"/>
        </w:rPr>
        <w:t xml:space="preserve"> di coppia rappresenta quindi un corretto approccio non solo terapeutico, ma anche potenzialmente preventivo.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Le ricadute sulla salute sessuale nelle coppie che fanno ricorso a tecniche di PMA rappresentano un campo meno esplorato nella letteratura scientifica. Tuttavia, l’invasività dei trattamenti si aggiunge ai già citati fattori predisponenti all’insorgenza delle disfunzioni sessuali, in misura diversa nella coppia. Nell’uomo, l’identificazione del proprio ruolo come “donatore di sperma” e la percezione delle tecniche di PMA come intrusive della propria virilità contribuiscono ad aumentare la prevalenza di disfunzione erettile, calo del desiderio e disturbi dell’eiaculazione; nella donna, il vissuto di infertilità, il ricorso a stimolazioni ormonali e la manipolazione genitale favoriscono l’insorgenza di dispareunia, desiderio sessuale ipoattivo e disturbi orgasmici. Inoltre, in entrambi i partner, la perdita dell’eroticità del rapporto sessuale e la progressiva disconnessione fra sesso e riproduzione possono ulteriormente gravare sulla salute sessuale della coppia.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xmsonormal"/>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Il quadro che si viene pertanto a delineare è pertanto quello di una vera e propria sindrome, appunto definita </w:t>
      </w:r>
      <w:proofErr w:type="spellStart"/>
      <w:r w:rsidRPr="00031A91">
        <w:rPr>
          <w:rFonts w:ascii="Arial" w:hAnsi="Arial" w:cs="Arial"/>
          <w:i/>
          <w:iCs/>
          <w:color w:val="201F1E"/>
          <w:sz w:val="20"/>
          <w:szCs w:val="20"/>
          <w:bdr w:val="none" w:sz="0" w:space="0" w:color="auto" w:frame="1"/>
        </w:rPr>
        <w:t>Inferto-Sex</w:t>
      </w:r>
      <w:proofErr w:type="spellEnd"/>
      <w:r w:rsidRPr="00031A91">
        <w:rPr>
          <w:rFonts w:ascii="Arial" w:hAnsi="Arial" w:cs="Arial"/>
          <w:i/>
          <w:iCs/>
          <w:color w:val="201F1E"/>
          <w:sz w:val="20"/>
          <w:szCs w:val="20"/>
          <w:bdr w:val="none" w:sz="0" w:space="0" w:color="auto" w:frame="1"/>
        </w:rPr>
        <w:t xml:space="preserve"> </w:t>
      </w:r>
      <w:proofErr w:type="spellStart"/>
      <w:r w:rsidRPr="00031A91">
        <w:rPr>
          <w:rFonts w:ascii="Arial" w:hAnsi="Arial" w:cs="Arial"/>
          <w:i/>
          <w:iCs/>
          <w:color w:val="201F1E"/>
          <w:sz w:val="20"/>
          <w:szCs w:val="20"/>
          <w:bdr w:val="none" w:sz="0" w:space="0" w:color="auto" w:frame="1"/>
        </w:rPr>
        <w:t>Syndrome</w:t>
      </w:r>
      <w:proofErr w:type="spellEnd"/>
      <w:r w:rsidRPr="00031A91">
        <w:rPr>
          <w:rFonts w:ascii="Arial" w:hAnsi="Arial" w:cs="Arial"/>
          <w:color w:val="201F1E"/>
          <w:sz w:val="20"/>
          <w:szCs w:val="20"/>
          <w:bdr w:val="none" w:sz="0" w:space="0" w:color="auto" w:frame="1"/>
        </w:rPr>
        <w:t>, in cui fertilità e sessualità non rappresentano condizioni distinte ma una sola entità clinica la cui gestione non può limitarsi alla valutazione “tecnica” in merito all’attuabilità delle tecniche di PMA. La sessualità rappresenta un vero e proprio </w:t>
      </w:r>
      <w:proofErr w:type="spellStart"/>
      <w:r w:rsidRPr="00031A91">
        <w:rPr>
          <w:rFonts w:ascii="Arial" w:hAnsi="Arial" w:cs="Arial"/>
          <w:i/>
          <w:iCs/>
          <w:color w:val="201F1E"/>
          <w:sz w:val="20"/>
          <w:szCs w:val="20"/>
          <w:bdr w:val="none" w:sz="0" w:space="0" w:color="auto" w:frame="1"/>
        </w:rPr>
        <w:t>unmet</w:t>
      </w:r>
      <w:proofErr w:type="spellEnd"/>
      <w:r w:rsidRPr="00031A91">
        <w:rPr>
          <w:rFonts w:ascii="Arial" w:hAnsi="Arial" w:cs="Arial"/>
          <w:i/>
          <w:iCs/>
          <w:color w:val="201F1E"/>
          <w:sz w:val="20"/>
          <w:szCs w:val="20"/>
          <w:bdr w:val="none" w:sz="0" w:space="0" w:color="auto" w:frame="1"/>
        </w:rPr>
        <w:t xml:space="preserve"> </w:t>
      </w:r>
      <w:proofErr w:type="spellStart"/>
      <w:r w:rsidRPr="00031A91">
        <w:rPr>
          <w:rFonts w:ascii="Arial" w:hAnsi="Arial" w:cs="Arial"/>
          <w:i/>
          <w:iCs/>
          <w:color w:val="201F1E"/>
          <w:sz w:val="20"/>
          <w:szCs w:val="20"/>
          <w:bdr w:val="none" w:sz="0" w:space="0" w:color="auto" w:frame="1"/>
        </w:rPr>
        <w:t>need</w:t>
      </w:r>
      <w:proofErr w:type="spellEnd"/>
      <w:r w:rsidRPr="00031A91">
        <w:rPr>
          <w:rFonts w:ascii="Arial" w:hAnsi="Arial" w:cs="Arial"/>
          <w:color w:val="201F1E"/>
          <w:sz w:val="20"/>
          <w:szCs w:val="20"/>
          <w:bdr w:val="none" w:sz="0" w:space="0" w:color="auto" w:frame="1"/>
        </w:rPr>
        <w:t xml:space="preserve"> – cioè una necessità finora disattesa – per le coppie affette da infertilità, che richiedono un supporto </w:t>
      </w:r>
      <w:proofErr w:type="spellStart"/>
      <w:r w:rsidRPr="00031A91">
        <w:rPr>
          <w:rFonts w:ascii="Arial" w:hAnsi="Arial" w:cs="Arial"/>
          <w:color w:val="201F1E"/>
          <w:sz w:val="20"/>
          <w:szCs w:val="20"/>
          <w:bdr w:val="none" w:sz="0" w:space="0" w:color="auto" w:frame="1"/>
        </w:rPr>
        <w:t>psicosessuologico</w:t>
      </w:r>
      <w:proofErr w:type="spellEnd"/>
      <w:r w:rsidRPr="00031A91">
        <w:rPr>
          <w:rFonts w:ascii="Arial" w:hAnsi="Arial" w:cs="Arial"/>
          <w:color w:val="201F1E"/>
          <w:sz w:val="20"/>
          <w:szCs w:val="20"/>
          <w:bdr w:val="none" w:sz="0" w:space="0" w:color="auto" w:frame="1"/>
        </w:rPr>
        <w:t xml:space="preserve"> completo in aggiunta alla terapia medica. Il </w:t>
      </w:r>
      <w:proofErr w:type="spellStart"/>
      <w:r w:rsidRPr="00031A91">
        <w:rPr>
          <w:rFonts w:ascii="Arial" w:hAnsi="Arial" w:cs="Arial"/>
          <w:color w:val="201F1E"/>
          <w:sz w:val="20"/>
          <w:szCs w:val="20"/>
          <w:bdr w:val="none" w:sz="0" w:space="0" w:color="auto" w:frame="1"/>
        </w:rPr>
        <w:t>distress</w:t>
      </w:r>
      <w:proofErr w:type="spellEnd"/>
      <w:r w:rsidRPr="00031A91">
        <w:rPr>
          <w:rFonts w:ascii="Arial" w:hAnsi="Arial" w:cs="Arial"/>
          <w:color w:val="201F1E"/>
          <w:sz w:val="20"/>
          <w:szCs w:val="20"/>
          <w:bdr w:val="none" w:sz="0" w:space="0" w:color="auto" w:frame="1"/>
        </w:rPr>
        <w:t xml:space="preserve"> conseguente all’infertilità, amplificato ad ogni ciclo terapeutico fallito, può essere destabilizzante per le coppie: investire risorse in tal senso può migliorare la sessualità della coppia, portando anche ad una migliore aderenza alle terapie, fondata sul contratto terapeutico fra paziente e curante.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rPr>
        <w:br/>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color w:val="201F1E"/>
          <w:sz w:val="20"/>
          <w:szCs w:val="20"/>
          <w:bdr w:val="none" w:sz="0" w:space="0" w:color="auto" w:frame="1"/>
          <w:lang w:val="en-US"/>
        </w:rPr>
        <w:t xml:space="preserve">Luca, G., </w:t>
      </w:r>
      <w:proofErr w:type="spellStart"/>
      <w:r w:rsidRPr="00031A91">
        <w:rPr>
          <w:rFonts w:ascii="Arial" w:hAnsi="Arial" w:cs="Arial"/>
          <w:color w:val="201F1E"/>
          <w:sz w:val="20"/>
          <w:szCs w:val="20"/>
          <w:bdr w:val="none" w:sz="0" w:space="0" w:color="auto" w:frame="1"/>
          <w:lang w:val="en-US"/>
        </w:rPr>
        <w:t>Parrettini</w:t>
      </w:r>
      <w:proofErr w:type="spellEnd"/>
      <w:r w:rsidRPr="00031A91">
        <w:rPr>
          <w:rFonts w:ascii="Arial" w:hAnsi="Arial" w:cs="Arial"/>
          <w:color w:val="201F1E"/>
          <w:sz w:val="20"/>
          <w:szCs w:val="20"/>
          <w:bdr w:val="none" w:sz="0" w:space="0" w:color="auto" w:frame="1"/>
          <w:lang w:val="en-US"/>
        </w:rPr>
        <w:t xml:space="preserve">, S., </w:t>
      </w:r>
      <w:proofErr w:type="spellStart"/>
      <w:r w:rsidRPr="00031A91">
        <w:rPr>
          <w:rFonts w:ascii="Arial" w:hAnsi="Arial" w:cs="Arial"/>
          <w:color w:val="201F1E"/>
          <w:sz w:val="20"/>
          <w:szCs w:val="20"/>
          <w:bdr w:val="none" w:sz="0" w:space="0" w:color="auto" w:frame="1"/>
          <w:lang w:val="en-US"/>
        </w:rPr>
        <w:t>Sansone</w:t>
      </w:r>
      <w:proofErr w:type="spellEnd"/>
      <w:r w:rsidRPr="00031A91">
        <w:rPr>
          <w:rFonts w:ascii="Arial" w:hAnsi="Arial" w:cs="Arial"/>
          <w:color w:val="201F1E"/>
          <w:sz w:val="20"/>
          <w:szCs w:val="20"/>
          <w:bdr w:val="none" w:sz="0" w:space="0" w:color="auto" w:frame="1"/>
          <w:lang w:val="en-US"/>
        </w:rPr>
        <w:t xml:space="preserve">, A., </w:t>
      </w:r>
      <w:proofErr w:type="spellStart"/>
      <w:r w:rsidRPr="00031A91">
        <w:rPr>
          <w:rFonts w:ascii="Arial" w:hAnsi="Arial" w:cs="Arial"/>
          <w:color w:val="201F1E"/>
          <w:sz w:val="20"/>
          <w:szCs w:val="20"/>
          <w:bdr w:val="none" w:sz="0" w:space="0" w:color="auto" w:frame="1"/>
          <w:lang w:val="en-US"/>
        </w:rPr>
        <w:t>Calafiore</w:t>
      </w:r>
      <w:proofErr w:type="spellEnd"/>
      <w:r w:rsidRPr="00031A91">
        <w:rPr>
          <w:rFonts w:ascii="Arial" w:hAnsi="Arial" w:cs="Arial"/>
          <w:color w:val="201F1E"/>
          <w:sz w:val="20"/>
          <w:szCs w:val="20"/>
          <w:bdr w:val="none" w:sz="0" w:space="0" w:color="auto" w:frame="1"/>
          <w:lang w:val="en-US"/>
        </w:rPr>
        <w:t xml:space="preserve">, R., </w:t>
      </w:r>
      <w:proofErr w:type="spellStart"/>
      <w:r w:rsidRPr="00031A91">
        <w:rPr>
          <w:rFonts w:ascii="Arial" w:hAnsi="Arial" w:cs="Arial"/>
          <w:color w:val="201F1E"/>
          <w:sz w:val="20"/>
          <w:szCs w:val="20"/>
          <w:bdr w:val="none" w:sz="0" w:space="0" w:color="auto" w:frame="1"/>
          <w:lang w:val="en-US"/>
        </w:rPr>
        <w:t>Jannini</w:t>
      </w:r>
      <w:proofErr w:type="spellEnd"/>
      <w:r w:rsidRPr="00031A91">
        <w:rPr>
          <w:rFonts w:ascii="Arial" w:hAnsi="Arial" w:cs="Arial"/>
          <w:color w:val="201F1E"/>
          <w:sz w:val="20"/>
          <w:szCs w:val="20"/>
          <w:bdr w:val="none" w:sz="0" w:space="0" w:color="auto" w:frame="1"/>
          <w:lang w:val="en-US"/>
        </w:rPr>
        <w:t xml:space="preserve">, E. A., The </w:t>
      </w:r>
      <w:proofErr w:type="spellStart"/>
      <w:r w:rsidRPr="00031A91">
        <w:rPr>
          <w:rFonts w:ascii="Arial" w:hAnsi="Arial" w:cs="Arial"/>
          <w:color w:val="201F1E"/>
          <w:sz w:val="20"/>
          <w:szCs w:val="20"/>
          <w:bdr w:val="none" w:sz="0" w:space="0" w:color="auto" w:frame="1"/>
          <w:lang w:val="en-US"/>
        </w:rPr>
        <w:t>Inferto</w:t>
      </w:r>
      <w:r w:rsidRPr="00031A91">
        <w:rPr>
          <w:rFonts w:ascii="Arial" w:hAnsi="Arial" w:cs="Arial"/>
          <w:color w:val="201F1E"/>
          <w:sz w:val="20"/>
          <w:szCs w:val="20"/>
          <w:bdr w:val="none" w:sz="0" w:space="0" w:color="auto" w:frame="1"/>
          <w:lang w:val="en-US"/>
        </w:rPr>
        <w:noBreakHyphen/>
        <w:t>Sex</w:t>
      </w:r>
      <w:proofErr w:type="spellEnd"/>
      <w:r w:rsidRPr="00031A91">
        <w:rPr>
          <w:rFonts w:ascii="Arial" w:hAnsi="Arial" w:cs="Arial"/>
          <w:color w:val="201F1E"/>
          <w:sz w:val="20"/>
          <w:szCs w:val="20"/>
          <w:bdr w:val="none" w:sz="0" w:space="0" w:color="auto" w:frame="1"/>
          <w:lang w:val="en-US"/>
        </w:rPr>
        <w:t xml:space="preserve"> Syndrome (ISS): sexual dysfunction in fertility care setting and assisted reproduction (2021). </w:t>
      </w:r>
      <w:r w:rsidRPr="00031A91">
        <w:rPr>
          <w:rFonts w:ascii="Arial" w:hAnsi="Arial" w:cs="Arial"/>
          <w:i/>
          <w:iCs/>
          <w:color w:val="201F1E"/>
          <w:sz w:val="20"/>
          <w:szCs w:val="20"/>
          <w:bdr w:val="none" w:sz="0" w:space="0" w:color="auto" w:frame="1"/>
        </w:rPr>
        <w:t xml:space="preserve">Journal </w:t>
      </w:r>
      <w:proofErr w:type="spellStart"/>
      <w:r w:rsidRPr="00031A91">
        <w:rPr>
          <w:rFonts w:ascii="Arial" w:hAnsi="Arial" w:cs="Arial"/>
          <w:i/>
          <w:iCs/>
          <w:color w:val="201F1E"/>
          <w:sz w:val="20"/>
          <w:szCs w:val="20"/>
          <w:bdr w:val="none" w:sz="0" w:space="0" w:color="auto" w:frame="1"/>
        </w:rPr>
        <w:t>of</w:t>
      </w:r>
      <w:proofErr w:type="spellEnd"/>
      <w:r w:rsidRPr="00031A91">
        <w:rPr>
          <w:rFonts w:ascii="Arial" w:hAnsi="Arial" w:cs="Arial"/>
          <w:i/>
          <w:iCs/>
          <w:color w:val="201F1E"/>
          <w:sz w:val="20"/>
          <w:szCs w:val="20"/>
          <w:bdr w:val="none" w:sz="0" w:space="0" w:color="auto" w:frame="1"/>
        </w:rPr>
        <w:t xml:space="preserve"> </w:t>
      </w:r>
      <w:proofErr w:type="spellStart"/>
      <w:r w:rsidRPr="00031A91">
        <w:rPr>
          <w:rFonts w:ascii="Arial" w:hAnsi="Arial" w:cs="Arial"/>
          <w:i/>
          <w:iCs/>
          <w:color w:val="201F1E"/>
          <w:sz w:val="20"/>
          <w:szCs w:val="20"/>
          <w:bdr w:val="none" w:sz="0" w:space="0" w:color="auto" w:frame="1"/>
        </w:rPr>
        <w:t>Endocrinological</w:t>
      </w:r>
      <w:proofErr w:type="spellEnd"/>
      <w:r w:rsidRPr="00031A91">
        <w:rPr>
          <w:rFonts w:ascii="Arial" w:hAnsi="Arial" w:cs="Arial"/>
          <w:i/>
          <w:iCs/>
          <w:color w:val="201F1E"/>
          <w:sz w:val="20"/>
          <w:szCs w:val="20"/>
          <w:bdr w:val="none" w:sz="0" w:space="0" w:color="auto" w:frame="1"/>
        </w:rPr>
        <w:t xml:space="preserve"> </w:t>
      </w:r>
      <w:proofErr w:type="spellStart"/>
      <w:r w:rsidRPr="00031A91">
        <w:rPr>
          <w:rFonts w:ascii="Arial" w:hAnsi="Arial" w:cs="Arial"/>
          <w:i/>
          <w:iCs/>
          <w:color w:val="201F1E"/>
          <w:sz w:val="20"/>
          <w:szCs w:val="20"/>
          <w:bdr w:val="none" w:sz="0" w:space="0" w:color="auto" w:frame="1"/>
        </w:rPr>
        <w:t>Investigation</w:t>
      </w:r>
      <w:proofErr w:type="spellEnd"/>
      <w:r w:rsidRPr="00031A91">
        <w:rPr>
          <w:rFonts w:ascii="Arial" w:hAnsi="Arial" w:cs="Arial"/>
          <w:i/>
          <w:iCs/>
          <w:color w:val="201F1E"/>
          <w:sz w:val="20"/>
          <w:szCs w:val="20"/>
          <w:bdr w:val="none" w:sz="0" w:space="0" w:color="auto" w:frame="1"/>
        </w:rPr>
        <w:t>.</w:t>
      </w:r>
      <w:r w:rsidRPr="00031A91">
        <w:rPr>
          <w:rFonts w:ascii="Arial" w:hAnsi="Arial" w:cs="Arial"/>
          <w:color w:val="201F1E"/>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b/>
          <w:bCs/>
          <w:color w:val="000000"/>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proofErr w:type="spellStart"/>
      <w:r w:rsidRPr="00031A91">
        <w:rPr>
          <w:rFonts w:ascii="Arial" w:hAnsi="Arial" w:cs="Arial"/>
          <w:color w:val="000000"/>
          <w:sz w:val="20"/>
          <w:szCs w:val="20"/>
          <w:bdr w:val="none" w:sz="0" w:space="0" w:color="auto" w:frame="1"/>
          <w:shd w:val="clear" w:color="auto" w:fill="FFFFFF"/>
        </w:rPr>
        <w:t>Doi</w:t>
      </w:r>
      <w:proofErr w:type="spellEnd"/>
      <w:r w:rsidRPr="00031A91">
        <w:rPr>
          <w:rFonts w:ascii="Arial" w:hAnsi="Arial" w:cs="Arial"/>
          <w:color w:val="000000"/>
          <w:sz w:val="20"/>
          <w:szCs w:val="20"/>
          <w:bdr w:val="none" w:sz="0" w:space="0" w:color="auto" w:frame="1"/>
          <w:shd w:val="clear" w:color="auto" w:fill="FFFFFF"/>
        </w:rPr>
        <w:t>: </w:t>
      </w:r>
      <w:hyperlink r:id="rId8" w:tgtFrame="_blank" w:history="1">
        <w:r w:rsidRPr="00031A91">
          <w:rPr>
            <w:rStyle w:val="Collegamentoipertestuale"/>
            <w:rFonts w:ascii="Arial" w:hAnsi="Arial" w:cs="Arial"/>
            <w:color w:val="205493"/>
            <w:sz w:val="20"/>
            <w:szCs w:val="20"/>
            <w:bdr w:val="none" w:sz="0" w:space="0" w:color="auto" w:frame="1"/>
            <w:shd w:val="clear" w:color="auto" w:fill="FFFFFF"/>
          </w:rPr>
          <w:t>10.1007/s40618-021-01581-w</w:t>
        </w:r>
      </w:hyperlink>
      <w:r w:rsidRPr="00031A91">
        <w:rPr>
          <w:rFonts w:ascii="Arial" w:hAnsi="Arial" w:cs="Arial"/>
          <w:b/>
          <w:bCs/>
          <w:color w:val="000000"/>
          <w:sz w:val="20"/>
          <w:szCs w:val="20"/>
          <w:bdr w:val="none" w:sz="0" w:space="0" w:color="auto" w:frame="1"/>
        </w:rPr>
        <w:t> </w:t>
      </w:r>
    </w:p>
    <w:p w:rsidR="00F23A18" w:rsidRPr="00031A91" w:rsidRDefault="00F23A18" w:rsidP="00F23A18">
      <w:pPr>
        <w:pStyle w:val="NormaleWeb"/>
        <w:shd w:val="clear" w:color="auto" w:fill="FFFFFF"/>
        <w:spacing w:before="0" w:beforeAutospacing="0" w:after="0" w:afterAutospacing="0" w:line="276" w:lineRule="atLeast"/>
        <w:jc w:val="both"/>
        <w:rPr>
          <w:rFonts w:ascii="Arial" w:hAnsi="Arial" w:cs="Arial"/>
          <w:color w:val="201F1E"/>
          <w:sz w:val="20"/>
          <w:szCs w:val="20"/>
        </w:rPr>
      </w:pPr>
      <w:r w:rsidRPr="00031A91">
        <w:rPr>
          <w:rFonts w:ascii="Arial" w:hAnsi="Arial" w:cs="Arial"/>
          <w:b/>
          <w:bCs/>
          <w:color w:val="000000"/>
          <w:sz w:val="20"/>
          <w:szCs w:val="20"/>
          <w:bdr w:val="none" w:sz="0" w:space="0" w:color="auto" w:frame="1"/>
        </w:rPr>
        <w:t> </w:t>
      </w:r>
    </w:p>
    <w:p w:rsidR="00F23A18" w:rsidRDefault="00F23A18" w:rsidP="00F23A18">
      <w:pPr>
        <w:pStyle w:val="NormaleWeb"/>
        <w:shd w:val="clear" w:color="auto" w:fill="FFFFFF"/>
        <w:spacing w:before="0" w:beforeAutospacing="0" w:after="0" w:afterAutospacing="0" w:line="276" w:lineRule="atLeast"/>
        <w:jc w:val="both"/>
        <w:rPr>
          <w:color w:val="201F1E"/>
        </w:rPr>
      </w:pPr>
      <w:r>
        <w:rPr>
          <w:rFonts w:ascii="Arial" w:hAnsi="Arial" w:cs="Arial"/>
          <w:b/>
          <w:bCs/>
          <w:color w:val="000000"/>
          <w:sz w:val="22"/>
          <w:szCs w:val="22"/>
          <w:bdr w:val="none" w:sz="0" w:space="0" w:color="auto" w:frame="1"/>
        </w:rPr>
        <w:t> </w:t>
      </w:r>
    </w:p>
    <w:p w:rsidR="00F23A18" w:rsidRDefault="00F23A18" w:rsidP="00F23A18">
      <w:pPr>
        <w:pStyle w:val="NormaleWeb"/>
        <w:shd w:val="clear" w:color="auto" w:fill="FFFFFF"/>
        <w:spacing w:before="0" w:beforeAutospacing="0" w:after="0" w:afterAutospacing="0" w:line="276" w:lineRule="atLeast"/>
        <w:jc w:val="both"/>
        <w:rPr>
          <w:color w:val="201F1E"/>
        </w:rPr>
      </w:pPr>
      <w:r>
        <w:rPr>
          <w:rFonts w:ascii="Arial" w:hAnsi="Arial" w:cs="Arial"/>
          <w:b/>
          <w:bCs/>
          <w:color w:val="000000"/>
          <w:sz w:val="22"/>
          <w:szCs w:val="22"/>
          <w:bdr w:val="none" w:sz="0" w:space="0" w:color="auto" w:frame="1"/>
        </w:rPr>
        <w:t> </w:t>
      </w:r>
    </w:p>
    <w:p w:rsidR="00F23A18" w:rsidRDefault="00F23A18" w:rsidP="00F23A18">
      <w:pPr>
        <w:pStyle w:val="NormaleWeb"/>
        <w:shd w:val="clear" w:color="auto" w:fill="FFFFFF"/>
        <w:spacing w:before="0" w:beforeAutospacing="0" w:after="0" w:afterAutospacing="0" w:line="276" w:lineRule="atLeast"/>
        <w:jc w:val="both"/>
        <w:rPr>
          <w:color w:val="201F1E"/>
        </w:rPr>
      </w:pPr>
      <w:r>
        <w:rPr>
          <w:rFonts w:ascii="Arial" w:hAnsi="Arial" w:cs="Arial"/>
          <w:b/>
          <w:bCs/>
          <w:color w:val="000000"/>
          <w:sz w:val="22"/>
          <w:szCs w:val="22"/>
          <w:bdr w:val="none" w:sz="0" w:space="0" w:color="auto" w:frame="1"/>
        </w:rPr>
        <w:t>Perugia, 24 maggio 2021  </w:t>
      </w:r>
    </w:p>
    <w:p w:rsidR="00F90DE5" w:rsidRPr="005D0472" w:rsidRDefault="00F90DE5" w:rsidP="00F23A18">
      <w:pPr>
        <w:pStyle w:val="NormaleWeb"/>
        <w:shd w:val="clear" w:color="auto" w:fill="FFFFFF"/>
        <w:spacing w:before="0" w:beforeAutospacing="0" w:after="0" w:afterAutospacing="0" w:line="240" w:lineRule="auto"/>
        <w:jc w:val="center"/>
        <w:rPr>
          <w:rFonts w:ascii="Arial" w:hAnsi="Arial" w:cs="Arial"/>
          <w:b/>
          <w:color w:val="000000"/>
          <w:sz w:val="20"/>
          <w:szCs w:val="20"/>
        </w:rPr>
      </w:pPr>
    </w:p>
    <w:sectPr w:rsidR="00F90DE5" w:rsidRPr="005D0472"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FCB" w:rsidRDefault="00F90FCB" w:rsidP="005C2BD2">
      <w:r>
        <w:separator/>
      </w:r>
    </w:p>
  </w:endnote>
  <w:endnote w:type="continuationSeparator" w:id="0">
    <w:p w:rsidR="00F90FCB" w:rsidRDefault="00F90FCB"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9D41F9"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FCB" w:rsidRDefault="00F90FCB" w:rsidP="005C2BD2">
      <w:r>
        <w:separator/>
      </w:r>
    </w:p>
  </w:footnote>
  <w:footnote w:type="continuationSeparator" w:id="0">
    <w:p w:rsidR="00F90FCB" w:rsidRDefault="00F90FC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9D41F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9D41F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9D41F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4DFD"/>
    <w:rsid w:val="0002574A"/>
    <w:rsid w:val="00026D06"/>
    <w:rsid w:val="000305E6"/>
    <w:rsid w:val="00031A91"/>
    <w:rsid w:val="000369FB"/>
    <w:rsid w:val="000545C9"/>
    <w:rsid w:val="000560F4"/>
    <w:rsid w:val="000615D9"/>
    <w:rsid w:val="0006359B"/>
    <w:rsid w:val="00065CF4"/>
    <w:rsid w:val="00073475"/>
    <w:rsid w:val="00073B57"/>
    <w:rsid w:val="00084C47"/>
    <w:rsid w:val="00090923"/>
    <w:rsid w:val="0009133E"/>
    <w:rsid w:val="000A3BBD"/>
    <w:rsid w:val="0010041F"/>
    <w:rsid w:val="0011350E"/>
    <w:rsid w:val="00121708"/>
    <w:rsid w:val="00160004"/>
    <w:rsid w:val="001645A1"/>
    <w:rsid w:val="001805C9"/>
    <w:rsid w:val="0019251B"/>
    <w:rsid w:val="001F2C9A"/>
    <w:rsid w:val="002000B2"/>
    <w:rsid w:val="00204420"/>
    <w:rsid w:val="002104C3"/>
    <w:rsid w:val="0022587A"/>
    <w:rsid w:val="00287D82"/>
    <w:rsid w:val="002C71EB"/>
    <w:rsid w:val="002C7989"/>
    <w:rsid w:val="002E5FFD"/>
    <w:rsid w:val="003000FE"/>
    <w:rsid w:val="00303163"/>
    <w:rsid w:val="00306D01"/>
    <w:rsid w:val="00321912"/>
    <w:rsid w:val="003340DC"/>
    <w:rsid w:val="003A73B0"/>
    <w:rsid w:val="003B2A92"/>
    <w:rsid w:val="003B3F39"/>
    <w:rsid w:val="003D101F"/>
    <w:rsid w:val="003D4636"/>
    <w:rsid w:val="003D6C8E"/>
    <w:rsid w:val="003F4AB1"/>
    <w:rsid w:val="00414C83"/>
    <w:rsid w:val="00416D1E"/>
    <w:rsid w:val="004552EA"/>
    <w:rsid w:val="00474954"/>
    <w:rsid w:val="00494129"/>
    <w:rsid w:val="004A2239"/>
    <w:rsid w:val="004D69A7"/>
    <w:rsid w:val="004D6B2E"/>
    <w:rsid w:val="00503933"/>
    <w:rsid w:val="00512C16"/>
    <w:rsid w:val="00517A67"/>
    <w:rsid w:val="0053096A"/>
    <w:rsid w:val="005340EC"/>
    <w:rsid w:val="00597201"/>
    <w:rsid w:val="005A6282"/>
    <w:rsid w:val="005C2BD2"/>
    <w:rsid w:val="005C50FE"/>
    <w:rsid w:val="005C7329"/>
    <w:rsid w:val="005D0472"/>
    <w:rsid w:val="005D749B"/>
    <w:rsid w:val="005D7675"/>
    <w:rsid w:val="005F32FC"/>
    <w:rsid w:val="00611B38"/>
    <w:rsid w:val="0061352A"/>
    <w:rsid w:val="00640498"/>
    <w:rsid w:val="00662B29"/>
    <w:rsid w:val="006710D9"/>
    <w:rsid w:val="006851B1"/>
    <w:rsid w:val="006A1D09"/>
    <w:rsid w:val="006B1C1F"/>
    <w:rsid w:val="006B7F82"/>
    <w:rsid w:val="006C4188"/>
    <w:rsid w:val="006E3D7B"/>
    <w:rsid w:val="006F6489"/>
    <w:rsid w:val="007005F7"/>
    <w:rsid w:val="00703CD7"/>
    <w:rsid w:val="00723042"/>
    <w:rsid w:val="00737FE0"/>
    <w:rsid w:val="007558DC"/>
    <w:rsid w:val="00774837"/>
    <w:rsid w:val="0079329B"/>
    <w:rsid w:val="007A2DA3"/>
    <w:rsid w:val="007A707D"/>
    <w:rsid w:val="007B02A8"/>
    <w:rsid w:val="007C20E8"/>
    <w:rsid w:val="007C37B2"/>
    <w:rsid w:val="007C7222"/>
    <w:rsid w:val="007F6A47"/>
    <w:rsid w:val="00800680"/>
    <w:rsid w:val="00804614"/>
    <w:rsid w:val="00820A5F"/>
    <w:rsid w:val="00840990"/>
    <w:rsid w:val="00840C70"/>
    <w:rsid w:val="0084655E"/>
    <w:rsid w:val="0084677F"/>
    <w:rsid w:val="008541BA"/>
    <w:rsid w:val="00873AD7"/>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C5351"/>
    <w:rsid w:val="009D41F9"/>
    <w:rsid w:val="009D7127"/>
    <w:rsid w:val="00A03A26"/>
    <w:rsid w:val="00A3402D"/>
    <w:rsid w:val="00A40A44"/>
    <w:rsid w:val="00A67CCA"/>
    <w:rsid w:val="00A74C3C"/>
    <w:rsid w:val="00A759F4"/>
    <w:rsid w:val="00A8784F"/>
    <w:rsid w:val="00A93C2C"/>
    <w:rsid w:val="00A93F4C"/>
    <w:rsid w:val="00A96188"/>
    <w:rsid w:val="00A97249"/>
    <w:rsid w:val="00AE4975"/>
    <w:rsid w:val="00AE6224"/>
    <w:rsid w:val="00AF4E38"/>
    <w:rsid w:val="00AF5C9A"/>
    <w:rsid w:val="00AF6A0C"/>
    <w:rsid w:val="00B05406"/>
    <w:rsid w:val="00B06657"/>
    <w:rsid w:val="00B11A8B"/>
    <w:rsid w:val="00B23861"/>
    <w:rsid w:val="00B300CB"/>
    <w:rsid w:val="00B377A5"/>
    <w:rsid w:val="00B42183"/>
    <w:rsid w:val="00B63153"/>
    <w:rsid w:val="00B6763E"/>
    <w:rsid w:val="00B703F0"/>
    <w:rsid w:val="00B70592"/>
    <w:rsid w:val="00B87577"/>
    <w:rsid w:val="00B91007"/>
    <w:rsid w:val="00BB6CA0"/>
    <w:rsid w:val="00BD55C9"/>
    <w:rsid w:val="00BE4272"/>
    <w:rsid w:val="00BF4E05"/>
    <w:rsid w:val="00C11DB5"/>
    <w:rsid w:val="00C2049E"/>
    <w:rsid w:val="00C331E2"/>
    <w:rsid w:val="00C7117F"/>
    <w:rsid w:val="00C84F19"/>
    <w:rsid w:val="00CA1194"/>
    <w:rsid w:val="00CB4D5B"/>
    <w:rsid w:val="00CD24C6"/>
    <w:rsid w:val="00CE4A8F"/>
    <w:rsid w:val="00D103CD"/>
    <w:rsid w:val="00D159E4"/>
    <w:rsid w:val="00D37117"/>
    <w:rsid w:val="00D4266E"/>
    <w:rsid w:val="00D45116"/>
    <w:rsid w:val="00D603A7"/>
    <w:rsid w:val="00D67348"/>
    <w:rsid w:val="00D761D4"/>
    <w:rsid w:val="00D83DBD"/>
    <w:rsid w:val="00D9540E"/>
    <w:rsid w:val="00DA1ADB"/>
    <w:rsid w:val="00DB2B68"/>
    <w:rsid w:val="00DB36C1"/>
    <w:rsid w:val="00DB40AC"/>
    <w:rsid w:val="00DB7D30"/>
    <w:rsid w:val="00DD4F41"/>
    <w:rsid w:val="00DE04B2"/>
    <w:rsid w:val="00DE4A69"/>
    <w:rsid w:val="00DF027F"/>
    <w:rsid w:val="00DF1B9D"/>
    <w:rsid w:val="00E024E7"/>
    <w:rsid w:val="00E06FFB"/>
    <w:rsid w:val="00E16032"/>
    <w:rsid w:val="00E378C5"/>
    <w:rsid w:val="00E40E76"/>
    <w:rsid w:val="00E44A34"/>
    <w:rsid w:val="00E57ADA"/>
    <w:rsid w:val="00E66910"/>
    <w:rsid w:val="00E8366B"/>
    <w:rsid w:val="00E95410"/>
    <w:rsid w:val="00E968E5"/>
    <w:rsid w:val="00EE0390"/>
    <w:rsid w:val="00F03D96"/>
    <w:rsid w:val="00F11297"/>
    <w:rsid w:val="00F23A18"/>
    <w:rsid w:val="00F27588"/>
    <w:rsid w:val="00F317E3"/>
    <w:rsid w:val="00F34FC1"/>
    <w:rsid w:val="00F40CB5"/>
    <w:rsid w:val="00F46D9F"/>
    <w:rsid w:val="00F46DC5"/>
    <w:rsid w:val="00F623F1"/>
    <w:rsid w:val="00F736E8"/>
    <w:rsid w:val="00F90DE5"/>
    <w:rsid w:val="00F90FCB"/>
    <w:rsid w:val="00FB3A90"/>
    <w:rsid w:val="00FF5405"/>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F23A18"/>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23233">
      <w:bodyDiv w:val="1"/>
      <w:marLeft w:val="0"/>
      <w:marRight w:val="0"/>
      <w:marTop w:val="0"/>
      <w:marBottom w:val="0"/>
      <w:divBdr>
        <w:top w:val="none" w:sz="0" w:space="0" w:color="auto"/>
        <w:left w:val="none" w:sz="0" w:space="0" w:color="auto"/>
        <w:bottom w:val="none" w:sz="0" w:space="0" w:color="auto"/>
        <w:right w:val="none" w:sz="0" w:space="0" w:color="auto"/>
      </w:divBdr>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001538569">
      <w:bodyDiv w:val="1"/>
      <w:marLeft w:val="0"/>
      <w:marRight w:val="0"/>
      <w:marTop w:val="0"/>
      <w:marBottom w:val="0"/>
      <w:divBdr>
        <w:top w:val="none" w:sz="0" w:space="0" w:color="auto"/>
        <w:left w:val="none" w:sz="0" w:space="0" w:color="auto"/>
        <w:bottom w:val="none" w:sz="0" w:space="0" w:color="auto"/>
        <w:right w:val="none" w:sz="0" w:space="0" w:color="auto"/>
      </w:divBdr>
      <w:divsChild>
        <w:div w:id="555942467">
          <w:marLeft w:val="0"/>
          <w:marRight w:val="0"/>
          <w:marTop w:val="0"/>
          <w:marBottom w:val="0"/>
          <w:divBdr>
            <w:top w:val="none" w:sz="0" w:space="0" w:color="auto"/>
            <w:left w:val="none" w:sz="0" w:space="0" w:color="auto"/>
            <w:bottom w:val="none" w:sz="0" w:space="0" w:color="auto"/>
            <w:right w:val="none" w:sz="0" w:space="0" w:color="auto"/>
          </w:divBdr>
        </w:div>
        <w:div w:id="1167016688">
          <w:marLeft w:val="0"/>
          <w:marRight w:val="0"/>
          <w:marTop w:val="0"/>
          <w:marBottom w:val="0"/>
          <w:divBdr>
            <w:top w:val="none" w:sz="0" w:space="0" w:color="auto"/>
            <w:left w:val="none" w:sz="0" w:space="0" w:color="auto"/>
            <w:bottom w:val="none" w:sz="0" w:space="0" w:color="auto"/>
            <w:right w:val="none" w:sz="0" w:space="0" w:color="auto"/>
          </w:divBdr>
        </w:div>
        <w:div w:id="2129472744">
          <w:marLeft w:val="0"/>
          <w:marRight w:val="0"/>
          <w:marTop w:val="0"/>
          <w:marBottom w:val="0"/>
          <w:divBdr>
            <w:top w:val="none" w:sz="0" w:space="0" w:color="auto"/>
            <w:left w:val="none" w:sz="0" w:space="0" w:color="auto"/>
            <w:bottom w:val="none" w:sz="0" w:space="0" w:color="auto"/>
            <w:right w:val="none" w:sz="0" w:space="0" w:color="auto"/>
          </w:divBdr>
        </w:div>
        <w:div w:id="1420563871">
          <w:marLeft w:val="0"/>
          <w:marRight w:val="0"/>
          <w:marTop w:val="0"/>
          <w:marBottom w:val="0"/>
          <w:divBdr>
            <w:top w:val="none" w:sz="0" w:space="0" w:color="auto"/>
            <w:left w:val="none" w:sz="0" w:space="0" w:color="auto"/>
            <w:bottom w:val="none" w:sz="0" w:space="0" w:color="auto"/>
            <w:right w:val="none" w:sz="0" w:space="0" w:color="auto"/>
          </w:divBdr>
        </w:div>
        <w:div w:id="1943878042">
          <w:marLeft w:val="0"/>
          <w:marRight w:val="0"/>
          <w:marTop w:val="0"/>
          <w:marBottom w:val="0"/>
          <w:divBdr>
            <w:top w:val="none" w:sz="0" w:space="0" w:color="auto"/>
            <w:left w:val="none" w:sz="0" w:space="0" w:color="auto"/>
            <w:bottom w:val="none" w:sz="0" w:space="0" w:color="auto"/>
            <w:right w:val="none" w:sz="0" w:space="0" w:color="auto"/>
          </w:divBdr>
        </w:div>
        <w:div w:id="1859659148">
          <w:marLeft w:val="0"/>
          <w:marRight w:val="0"/>
          <w:marTop w:val="0"/>
          <w:marBottom w:val="0"/>
          <w:divBdr>
            <w:top w:val="none" w:sz="0" w:space="0" w:color="auto"/>
            <w:left w:val="none" w:sz="0" w:space="0" w:color="auto"/>
            <w:bottom w:val="none" w:sz="0" w:space="0" w:color="auto"/>
            <w:right w:val="none" w:sz="0" w:space="0" w:color="auto"/>
          </w:divBdr>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0618-021-01581-w"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39119-0FB1-4A43-96AD-2FF90607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882</Words>
  <Characters>5029</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3</cp:revision>
  <cp:lastPrinted>2021-05-04T08:35:00Z</cp:lastPrinted>
  <dcterms:created xsi:type="dcterms:W3CDTF">2021-05-25T07:15:00Z</dcterms:created>
  <dcterms:modified xsi:type="dcterms:W3CDTF">2021-05-25T07:16:00Z</dcterms:modified>
</cp:coreProperties>
</file>