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825C228"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eastAsia="Times New Roman" w:cs="Arial"/>
          <w:sz w:val="27"/>
          <w:szCs w:val="27"/>
          <w:bdr w:val="none" w:sz="0" w:space="0" w:color="auto"/>
        </w:rPr>
      </w:pPr>
      <w:r w:rsidRPr="006768B5">
        <w:rPr>
          <w:rFonts w:ascii="inherit" w:eastAsia="Times New Roman" w:hAnsi="inherit" w:cs="Arial"/>
          <w:b/>
          <w:bCs/>
          <w:sz w:val="32"/>
          <w:szCs w:val="32"/>
          <w:bdr w:val="none" w:sz="0" w:space="0" w:color="auto" w:frame="1"/>
        </w:rPr>
        <w:t>UNIVERSITÀ DEGLI STUDI DI PERUGIA  </w:t>
      </w:r>
      <w:r w:rsidRPr="006768B5">
        <w:rPr>
          <w:rFonts w:ascii="inherit" w:eastAsia="Times New Roman" w:hAnsi="inherit" w:cs="Arial"/>
          <w:color w:val="181817"/>
          <w:sz w:val="32"/>
          <w:szCs w:val="32"/>
          <w:bdr w:val="none" w:sz="0" w:space="0" w:color="auto" w:frame="1"/>
        </w:rPr>
        <w:t> </w:t>
      </w:r>
    </w:p>
    <w:p w14:paraId="5B9669AC"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eastAsia="Times New Roman" w:cs="Arial"/>
          <w:color w:val="181817"/>
          <w:sz w:val="17"/>
          <w:szCs w:val="17"/>
          <w:bdr w:val="none" w:sz="0" w:space="0" w:color="auto"/>
        </w:rPr>
      </w:pPr>
      <w:r w:rsidRPr="006768B5">
        <w:rPr>
          <w:rFonts w:ascii="inherit" w:eastAsia="Times New Roman" w:hAnsi="inherit" w:cs="Arial"/>
          <w:b/>
          <w:bCs/>
          <w:color w:val="181817"/>
          <w:sz w:val="32"/>
          <w:szCs w:val="32"/>
          <w:bdr w:val="none" w:sz="0" w:space="0" w:color="auto" w:frame="1"/>
        </w:rPr>
        <w:t> </w:t>
      </w:r>
    </w:p>
    <w:p w14:paraId="3460D01D"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s="Arial"/>
          <w:color w:val="181817"/>
          <w:sz w:val="20"/>
          <w:szCs w:val="20"/>
          <w:bdr w:val="none" w:sz="0" w:space="0" w:color="auto"/>
        </w:rPr>
      </w:pPr>
      <w:r w:rsidRPr="006768B5">
        <w:rPr>
          <w:rFonts w:ascii="inherit" w:eastAsia="Times New Roman" w:hAnsi="inherit" w:cs="Arial"/>
          <w:b/>
          <w:bCs/>
          <w:color w:val="181817"/>
          <w:sz w:val="22"/>
          <w:szCs w:val="22"/>
          <w:bdr w:val="none" w:sz="0" w:space="0" w:color="auto" w:frame="1"/>
        </w:rPr>
        <w:t> </w:t>
      </w:r>
    </w:p>
    <w:p w14:paraId="011CC035"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eastAsia="Times New Roman" w:cs="Arial"/>
          <w:sz w:val="20"/>
          <w:szCs w:val="20"/>
          <w:bdr w:val="none" w:sz="0" w:space="0" w:color="auto"/>
        </w:rPr>
      </w:pPr>
      <w:r w:rsidRPr="006768B5">
        <w:rPr>
          <w:rFonts w:ascii="inherit" w:eastAsia="Times New Roman" w:hAnsi="inherit" w:cs="Arial"/>
          <w:b/>
          <w:bCs/>
          <w:sz w:val="22"/>
          <w:szCs w:val="22"/>
          <w:bdr w:val="none" w:sz="0" w:space="0" w:color="auto" w:frame="1"/>
        </w:rPr>
        <w:t>Inaugurata ad Assisi la mostra “</w:t>
      </w:r>
      <w:proofErr w:type="spellStart"/>
      <w:r w:rsidRPr="006768B5">
        <w:rPr>
          <w:rFonts w:ascii="inherit" w:eastAsia="Times New Roman" w:hAnsi="inherit" w:cs="Arial"/>
          <w:b/>
          <w:bCs/>
          <w:sz w:val="22"/>
          <w:szCs w:val="22"/>
          <w:bdr w:val="none" w:sz="0" w:space="0" w:color="auto" w:frame="1"/>
        </w:rPr>
        <w:t>Madaba</w:t>
      </w:r>
      <w:proofErr w:type="spellEnd"/>
      <w:r w:rsidRPr="006768B5">
        <w:rPr>
          <w:rFonts w:ascii="inherit" w:eastAsia="Times New Roman" w:hAnsi="inherit" w:cs="Arial"/>
          <w:b/>
          <w:bCs/>
          <w:sz w:val="22"/>
          <w:szCs w:val="22"/>
          <w:bdr w:val="none" w:sz="0" w:space="0" w:color="auto" w:frame="1"/>
        </w:rPr>
        <w:t>: la città dei mosaici”</w:t>
      </w:r>
    </w:p>
    <w:p w14:paraId="4706524C"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eastAsia="Times New Roman" w:cs="Arial"/>
          <w:sz w:val="20"/>
          <w:szCs w:val="20"/>
          <w:bdr w:val="none" w:sz="0" w:space="0" w:color="auto"/>
        </w:rPr>
      </w:pPr>
      <w:r w:rsidRPr="006768B5">
        <w:rPr>
          <w:rFonts w:ascii="inherit" w:eastAsia="Times New Roman" w:hAnsi="inherit" w:cs="Arial"/>
          <w:b/>
          <w:bCs/>
          <w:sz w:val="22"/>
          <w:szCs w:val="22"/>
          <w:bdr w:val="none" w:sz="0" w:space="0" w:color="auto" w:frame="1"/>
        </w:rPr>
        <w:t>Progetto di turismo sostenibile finanziato dall’Agenzia Italiana per la Cooperazione allo Sviluppo (AICS) e implementato dall’Università degli Studi di Perugia </w:t>
      </w:r>
    </w:p>
    <w:p w14:paraId="58900B6B"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s="Arial"/>
          <w:sz w:val="17"/>
          <w:szCs w:val="17"/>
          <w:bdr w:val="none" w:sz="0" w:space="0" w:color="auto"/>
        </w:rPr>
      </w:pPr>
    </w:p>
    <w:p w14:paraId="2912FD10"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s="Arial"/>
          <w:sz w:val="17"/>
          <w:szCs w:val="17"/>
          <w:bdr w:val="none" w:sz="0" w:space="0" w:color="auto"/>
        </w:rPr>
      </w:pPr>
      <w:r w:rsidRPr="006768B5">
        <w:rPr>
          <w:rFonts w:ascii="inherit" w:eastAsia="Times New Roman" w:hAnsi="inherit" w:cs="Arial"/>
          <w:sz w:val="22"/>
          <w:szCs w:val="22"/>
          <w:bdr w:val="none" w:sz="0" w:space="0" w:color="auto" w:frame="1"/>
        </w:rPr>
        <w:t> </w:t>
      </w:r>
    </w:p>
    <w:p w14:paraId="58830595"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s="Arial"/>
          <w:sz w:val="17"/>
          <w:szCs w:val="17"/>
          <w:bdr w:val="none" w:sz="0" w:space="0" w:color="auto"/>
        </w:rPr>
      </w:pPr>
      <w:r w:rsidRPr="006768B5">
        <w:rPr>
          <w:rFonts w:ascii="inherit" w:eastAsia="Times New Roman" w:hAnsi="inherit" w:cs="Arial"/>
          <w:sz w:val="22"/>
          <w:szCs w:val="22"/>
          <w:bdr w:val="none" w:sz="0" w:space="0" w:color="auto" w:frame="1"/>
        </w:rPr>
        <w:t>La mostra “</w:t>
      </w:r>
      <w:proofErr w:type="spellStart"/>
      <w:r w:rsidRPr="006768B5">
        <w:rPr>
          <w:rFonts w:ascii="inherit" w:eastAsia="Times New Roman" w:hAnsi="inherit" w:cs="Arial"/>
          <w:b/>
          <w:bCs/>
          <w:sz w:val="22"/>
          <w:szCs w:val="22"/>
          <w:bdr w:val="none" w:sz="0" w:space="0" w:color="auto" w:frame="1"/>
        </w:rPr>
        <w:t>Madaba</w:t>
      </w:r>
      <w:proofErr w:type="spellEnd"/>
      <w:r w:rsidRPr="006768B5">
        <w:rPr>
          <w:rFonts w:ascii="inherit" w:eastAsia="Times New Roman" w:hAnsi="inherit" w:cs="Arial"/>
          <w:b/>
          <w:bCs/>
          <w:sz w:val="22"/>
          <w:szCs w:val="22"/>
          <w:bdr w:val="none" w:sz="0" w:space="0" w:color="auto" w:frame="1"/>
        </w:rPr>
        <w:t>, la città dei mosaici”</w:t>
      </w:r>
      <w:r w:rsidRPr="006768B5">
        <w:rPr>
          <w:rFonts w:ascii="inherit" w:eastAsia="Times New Roman" w:hAnsi="inherit" w:cs="Arial"/>
          <w:sz w:val="22"/>
          <w:szCs w:val="22"/>
          <w:bdr w:val="none" w:sz="0" w:space="0" w:color="auto" w:frame="1"/>
        </w:rPr>
        <w:t> è stata inaugurata oggi a </w:t>
      </w:r>
      <w:r w:rsidRPr="006768B5">
        <w:rPr>
          <w:rFonts w:ascii="inherit" w:eastAsia="Times New Roman" w:hAnsi="inherit" w:cs="Arial"/>
          <w:b/>
          <w:bCs/>
          <w:sz w:val="22"/>
          <w:szCs w:val="22"/>
          <w:bdr w:val="none" w:sz="0" w:space="0" w:color="auto" w:frame="1"/>
        </w:rPr>
        <w:t>Palazzo Bernabei</w:t>
      </w:r>
      <w:r w:rsidRPr="006768B5">
        <w:rPr>
          <w:rFonts w:ascii="inherit" w:eastAsia="Times New Roman" w:hAnsi="inherit" w:cs="Arial"/>
          <w:sz w:val="22"/>
          <w:szCs w:val="22"/>
          <w:bdr w:val="none" w:sz="0" w:space="0" w:color="auto" w:frame="1"/>
        </w:rPr>
        <w:t>, sede di </w:t>
      </w:r>
      <w:r w:rsidRPr="006768B5">
        <w:rPr>
          <w:rFonts w:ascii="inherit" w:eastAsia="Times New Roman" w:hAnsi="inherit" w:cs="Arial"/>
          <w:b/>
          <w:bCs/>
          <w:sz w:val="22"/>
          <w:szCs w:val="22"/>
          <w:bdr w:val="none" w:sz="0" w:space="0" w:color="auto" w:frame="1"/>
        </w:rPr>
        <w:t>Assisi </w:t>
      </w:r>
      <w:r w:rsidRPr="006768B5">
        <w:rPr>
          <w:rFonts w:ascii="inherit" w:eastAsia="Times New Roman" w:hAnsi="inherit" w:cs="Arial"/>
          <w:sz w:val="22"/>
          <w:szCs w:val="22"/>
          <w:bdr w:val="none" w:sz="0" w:space="0" w:color="auto" w:frame="1"/>
        </w:rPr>
        <w:t xml:space="preserve">dell’Università degli Studi di Perugia. </w:t>
      </w:r>
      <w:proofErr w:type="gramStart"/>
      <w:r w:rsidRPr="006768B5">
        <w:rPr>
          <w:rFonts w:ascii="inherit" w:eastAsia="Times New Roman" w:hAnsi="inherit" w:cs="Arial"/>
          <w:sz w:val="22"/>
          <w:szCs w:val="22"/>
          <w:bdr w:val="none" w:sz="0" w:space="0" w:color="auto" w:frame="1"/>
        </w:rPr>
        <w:t>E’</w:t>
      </w:r>
      <w:proofErr w:type="gramEnd"/>
      <w:r w:rsidRPr="006768B5">
        <w:rPr>
          <w:rFonts w:ascii="inherit" w:eastAsia="Times New Roman" w:hAnsi="inherit" w:cs="Arial"/>
          <w:sz w:val="22"/>
          <w:szCs w:val="22"/>
          <w:bdr w:val="none" w:sz="0" w:space="0" w:color="auto" w:frame="1"/>
        </w:rPr>
        <w:t xml:space="preserve"> frutto del progetto di turismo sostenibile “Scoprire </w:t>
      </w:r>
      <w:proofErr w:type="spellStart"/>
      <w:r w:rsidRPr="006768B5">
        <w:rPr>
          <w:rFonts w:ascii="inherit" w:eastAsia="Times New Roman" w:hAnsi="inherit" w:cs="Arial"/>
          <w:sz w:val="22"/>
          <w:szCs w:val="22"/>
          <w:bdr w:val="none" w:sz="0" w:space="0" w:color="auto" w:frame="1"/>
        </w:rPr>
        <w:t>Madaba</w:t>
      </w:r>
      <w:proofErr w:type="spellEnd"/>
      <w:r w:rsidRPr="006768B5">
        <w:rPr>
          <w:rFonts w:ascii="inherit" w:eastAsia="Times New Roman" w:hAnsi="inherit" w:cs="Arial"/>
          <w:sz w:val="22"/>
          <w:szCs w:val="22"/>
          <w:bdr w:val="none" w:sz="0" w:space="0" w:color="auto" w:frame="1"/>
        </w:rPr>
        <w:t>”, finanziato dall’Agenzia Italiana per la Cooperazione allo Sviluppo (AICS) e implementato dall'Università degli Studi di Perugia. </w:t>
      </w:r>
    </w:p>
    <w:p w14:paraId="357A1CDE"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s="Arial"/>
          <w:sz w:val="17"/>
          <w:szCs w:val="17"/>
          <w:bdr w:val="none" w:sz="0" w:space="0" w:color="auto"/>
        </w:rPr>
      </w:pPr>
      <w:r w:rsidRPr="006768B5">
        <w:rPr>
          <w:rFonts w:ascii="inherit" w:eastAsia="Times New Roman" w:hAnsi="inherit" w:cs="Arial"/>
          <w:sz w:val="22"/>
          <w:szCs w:val="22"/>
          <w:bdr w:val="none" w:sz="0" w:space="0" w:color="auto" w:frame="1"/>
        </w:rPr>
        <w:br/>
      </w:r>
    </w:p>
    <w:p w14:paraId="28B22E2B"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EFFFE"/>
        <w:jc w:val="both"/>
        <w:rPr>
          <w:rFonts w:eastAsia="Times New Roman" w:cs="Arial"/>
          <w:color w:val="262524"/>
          <w:sz w:val="17"/>
          <w:szCs w:val="17"/>
          <w:bdr w:val="none" w:sz="0" w:space="0" w:color="auto"/>
        </w:rPr>
      </w:pPr>
      <w:r w:rsidRPr="006768B5">
        <w:rPr>
          <w:rFonts w:ascii="inherit" w:eastAsia="Times New Roman" w:hAnsi="inherit" w:cs="Arial"/>
          <w:color w:val="262524"/>
          <w:sz w:val="22"/>
          <w:szCs w:val="22"/>
          <w:bdr w:val="none" w:sz="0" w:space="0" w:color="auto" w:frame="1"/>
        </w:rPr>
        <w:t xml:space="preserve">“L’Università degli Studi di Perugia – ha sottolineato il Rettore - ha una lunga, autorevole tradizione di studi archeologici, alla quale hanno contribuito grandi maestri, fra i quali desidero ricordare il Prof. Mario Torelli, scomparso lo scorso anno.  La loro scuola ha formato e donato entusiasmo a generazioni di nostri giovani ricercatori e ricercatrici, che oggi collaborano in tutto il mondo a progetti di musealizzazione e valorizzazione archeologica ed ora, insieme ai colleghi giordani, raccolgono la sfida di rinnovare la veste di </w:t>
      </w:r>
      <w:proofErr w:type="spellStart"/>
      <w:r w:rsidRPr="006768B5">
        <w:rPr>
          <w:rFonts w:ascii="inherit" w:eastAsia="Times New Roman" w:hAnsi="inherit" w:cs="Arial"/>
          <w:color w:val="262524"/>
          <w:sz w:val="22"/>
          <w:szCs w:val="22"/>
          <w:bdr w:val="none" w:sz="0" w:space="0" w:color="auto" w:frame="1"/>
        </w:rPr>
        <w:t>Madaba</w:t>
      </w:r>
      <w:proofErr w:type="spellEnd"/>
      <w:r w:rsidRPr="006768B5">
        <w:rPr>
          <w:rFonts w:ascii="inherit" w:eastAsia="Times New Roman" w:hAnsi="inherit" w:cs="Arial"/>
          <w:color w:val="262524"/>
          <w:sz w:val="22"/>
          <w:szCs w:val="22"/>
          <w:bdr w:val="none" w:sz="0" w:space="0" w:color="auto" w:frame="1"/>
        </w:rPr>
        <w:t>.</w:t>
      </w:r>
    </w:p>
    <w:p w14:paraId="56A1DFF7"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EFFFE"/>
        <w:jc w:val="both"/>
        <w:rPr>
          <w:rFonts w:eastAsia="Times New Roman" w:cs="Arial"/>
          <w:color w:val="262524"/>
          <w:sz w:val="17"/>
          <w:szCs w:val="17"/>
          <w:bdr w:val="none" w:sz="0" w:space="0" w:color="auto"/>
        </w:rPr>
      </w:pPr>
      <w:r w:rsidRPr="006768B5">
        <w:rPr>
          <w:rFonts w:ascii="inherit" w:eastAsia="Times New Roman" w:hAnsi="inherit" w:cs="Arial"/>
          <w:color w:val="262524"/>
          <w:sz w:val="22"/>
          <w:szCs w:val="22"/>
          <w:bdr w:val="none" w:sz="0" w:space="0" w:color="auto" w:frame="1"/>
        </w:rPr>
        <w:t xml:space="preserve">Come bene evidenzia la mostra – ha proseguito il Prof. Oliviero </w:t>
      </w:r>
      <w:proofErr w:type="gramStart"/>
      <w:r w:rsidRPr="006768B5">
        <w:rPr>
          <w:rFonts w:ascii="inherit" w:eastAsia="Times New Roman" w:hAnsi="inherit" w:cs="Arial"/>
          <w:color w:val="262524"/>
          <w:sz w:val="22"/>
          <w:szCs w:val="22"/>
          <w:bdr w:val="none" w:sz="0" w:space="0" w:color="auto" w:frame="1"/>
        </w:rPr>
        <w:t>- ,</w:t>
      </w:r>
      <w:proofErr w:type="gramEnd"/>
      <w:r w:rsidRPr="006768B5">
        <w:rPr>
          <w:rFonts w:ascii="inherit" w:eastAsia="Times New Roman" w:hAnsi="inherit" w:cs="Arial"/>
          <w:color w:val="262524"/>
          <w:sz w:val="22"/>
          <w:szCs w:val="22"/>
          <w:bdr w:val="none" w:sz="0" w:space="0" w:color="auto" w:frame="1"/>
        </w:rPr>
        <w:t xml:space="preserve"> sono stati i frati francescani dello </w:t>
      </w:r>
      <w:proofErr w:type="spellStart"/>
      <w:r w:rsidRPr="006768B5">
        <w:rPr>
          <w:rFonts w:ascii="inherit" w:eastAsia="Times New Roman" w:hAnsi="inherit" w:cs="Arial"/>
          <w:i/>
          <w:iCs/>
          <w:color w:val="262524"/>
          <w:sz w:val="22"/>
          <w:szCs w:val="22"/>
          <w:bdr w:val="none" w:sz="0" w:space="0" w:color="auto" w:frame="1"/>
        </w:rPr>
        <w:t>Studium</w:t>
      </w:r>
      <w:proofErr w:type="spellEnd"/>
      <w:r w:rsidRPr="006768B5">
        <w:rPr>
          <w:rFonts w:ascii="inherit" w:eastAsia="Times New Roman" w:hAnsi="inherit" w:cs="Arial"/>
          <w:i/>
          <w:iCs/>
          <w:color w:val="262524"/>
          <w:sz w:val="22"/>
          <w:szCs w:val="22"/>
          <w:bdr w:val="none" w:sz="0" w:space="0" w:color="auto" w:frame="1"/>
        </w:rPr>
        <w:t xml:space="preserve"> </w:t>
      </w:r>
      <w:proofErr w:type="spellStart"/>
      <w:r w:rsidRPr="006768B5">
        <w:rPr>
          <w:rFonts w:ascii="inherit" w:eastAsia="Times New Roman" w:hAnsi="inherit" w:cs="Arial"/>
          <w:i/>
          <w:iCs/>
          <w:color w:val="262524"/>
          <w:sz w:val="22"/>
          <w:szCs w:val="22"/>
          <w:bdr w:val="none" w:sz="0" w:space="0" w:color="auto" w:frame="1"/>
        </w:rPr>
        <w:t>Biblicum</w:t>
      </w:r>
      <w:proofErr w:type="spellEnd"/>
      <w:r w:rsidRPr="006768B5">
        <w:rPr>
          <w:rFonts w:ascii="inherit" w:eastAsia="Times New Roman" w:hAnsi="inherit" w:cs="Arial"/>
          <w:i/>
          <w:iCs/>
          <w:color w:val="262524"/>
          <w:sz w:val="22"/>
          <w:szCs w:val="22"/>
          <w:bdr w:val="none" w:sz="0" w:space="0" w:color="auto" w:frame="1"/>
        </w:rPr>
        <w:t xml:space="preserve"> </w:t>
      </w:r>
      <w:proofErr w:type="spellStart"/>
      <w:r w:rsidRPr="006768B5">
        <w:rPr>
          <w:rFonts w:ascii="inherit" w:eastAsia="Times New Roman" w:hAnsi="inherit" w:cs="Arial"/>
          <w:i/>
          <w:iCs/>
          <w:color w:val="262524"/>
          <w:sz w:val="22"/>
          <w:szCs w:val="22"/>
          <w:bdr w:val="none" w:sz="0" w:space="0" w:color="auto" w:frame="1"/>
        </w:rPr>
        <w:t>Franciscanum</w:t>
      </w:r>
      <w:proofErr w:type="spellEnd"/>
      <w:r w:rsidRPr="006768B5">
        <w:rPr>
          <w:rFonts w:ascii="inherit" w:eastAsia="Times New Roman" w:hAnsi="inherit" w:cs="Arial"/>
          <w:color w:val="262524"/>
          <w:sz w:val="22"/>
          <w:szCs w:val="22"/>
          <w:bdr w:val="none" w:sz="0" w:space="0" w:color="auto" w:frame="1"/>
        </w:rPr>
        <w:t xml:space="preserve">, fra i quali il compianto archeologo Padre Michele Piccirillo, che ho personalmente avuto l’onore di conoscere, a scoprire per primi le meravigliose pavimentazioni musive della città giordana ed a iniziare il recupero archeologico del Monte </w:t>
      </w:r>
      <w:proofErr w:type="spellStart"/>
      <w:r w:rsidRPr="006768B5">
        <w:rPr>
          <w:rFonts w:ascii="inherit" w:eastAsia="Times New Roman" w:hAnsi="inherit" w:cs="Arial"/>
          <w:color w:val="262524"/>
          <w:sz w:val="22"/>
          <w:szCs w:val="22"/>
          <w:bdr w:val="none" w:sz="0" w:space="0" w:color="auto" w:frame="1"/>
        </w:rPr>
        <w:t>Nebo</w:t>
      </w:r>
      <w:proofErr w:type="spellEnd"/>
      <w:r w:rsidRPr="006768B5">
        <w:rPr>
          <w:rFonts w:ascii="inherit" w:eastAsia="Times New Roman" w:hAnsi="inherit" w:cs="Arial"/>
          <w:color w:val="262524"/>
          <w:sz w:val="22"/>
          <w:szCs w:val="22"/>
          <w:bdr w:val="none" w:sz="0" w:space="0" w:color="auto" w:frame="1"/>
        </w:rPr>
        <w:t xml:space="preserve">. Qui il memoriale di Mosè, posto su un’altura che domina la Piana di </w:t>
      </w:r>
      <w:proofErr w:type="spellStart"/>
      <w:r w:rsidRPr="006768B5">
        <w:rPr>
          <w:rFonts w:ascii="inherit" w:eastAsia="Times New Roman" w:hAnsi="inherit" w:cs="Arial"/>
          <w:color w:val="262524"/>
          <w:sz w:val="22"/>
          <w:szCs w:val="22"/>
          <w:bdr w:val="none" w:sz="0" w:space="0" w:color="auto" w:frame="1"/>
        </w:rPr>
        <w:t>Madaba</w:t>
      </w:r>
      <w:proofErr w:type="spellEnd"/>
      <w:r w:rsidRPr="006768B5">
        <w:rPr>
          <w:rFonts w:ascii="inherit" w:eastAsia="Times New Roman" w:hAnsi="inherit" w:cs="Arial"/>
          <w:color w:val="262524"/>
          <w:sz w:val="22"/>
          <w:szCs w:val="22"/>
          <w:bdr w:val="none" w:sz="0" w:space="0" w:color="auto" w:frame="1"/>
        </w:rPr>
        <w:t xml:space="preserve"> e la Valle del Giordano, restituisce un’affascinante somiglianza con Assisi e la Basilica di San Francesco, posti a sovrastare la Valle Umbra. </w:t>
      </w:r>
    </w:p>
    <w:p w14:paraId="1B19F75A"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EFFFE"/>
        <w:jc w:val="both"/>
        <w:rPr>
          <w:rFonts w:eastAsia="Times New Roman" w:cs="Arial"/>
          <w:color w:val="262524"/>
          <w:sz w:val="17"/>
          <w:szCs w:val="17"/>
          <w:bdr w:val="none" w:sz="0" w:space="0" w:color="auto"/>
        </w:rPr>
      </w:pPr>
      <w:r w:rsidRPr="006768B5">
        <w:rPr>
          <w:rFonts w:ascii="inherit" w:eastAsia="Times New Roman" w:hAnsi="inherit" w:cs="Arial"/>
          <w:color w:val="262524"/>
          <w:sz w:val="22"/>
          <w:szCs w:val="22"/>
          <w:bdr w:val="none" w:sz="0" w:space="0" w:color="auto" w:frame="1"/>
        </w:rPr>
        <w:t xml:space="preserve">Siamo altresì </w:t>
      </w:r>
      <w:proofErr w:type="gramStart"/>
      <w:r w:rsidRPr="006768B5">
        <w:rPr>
          <w:rFonts w:ascii="inherit" w:eastAsia="Times New Roman" w:hAnsi="inherit" w:cs="Arial"/>
          <w:color w:val="262524"/>
          <w:sz w:val="22"/>
          <w:szCs w:val="22"/>
          <w:bdr w:val="none" w:sz="0" w:space="0" w:color="auto" w:frame="1"/>
        </w:rPr>
        <w:t>onorati  –</w:t>
      </w:r>
      <w:proofErr w:type="gramEnd"/>
      <w:r w:rsidRPr="006768B5">
        <w:rPr>
          <w:rFonts w:ascii="inherit" w:eastAsia="Times New Roman" w:hAnsi="inherit" w:cs="Arial"/>
          <w:color w:val="262524"/>
          <w:sz w:val="22"/>
          <w:szCs w:val="22"/>
          <w:bdr w:val="none" w:sz="0" w:space="0" w:color="auto" w:frame="1"/>
        </w:rPr>
        <w:t xml:space="preserve"> ha proseguito il Prof. Oliviero - di collaborare con il popolo giordano, con il quale condividiamo cordiali sentimenti di affetto, ed intendiamo dare il nostro contributo ad una comune crescita grazie alla valorizzazione e promozione turistica dei beni culturali, capace di favorire la ripresa post-pandemica. Desidero inoltre sottolineare – ha proseguito il Magnifico Rettore Prof. Maurizio Oliviero – come il progetto “Scoprire </w:t>
      </w:r>
      <w:proofErr w:type="spellStart"/>
      <w:r w:rsidRPr="006768B5">
        <w:rPr>
          <w:rFonts w:ascii="inherit" w:eastAsia="Times New Roman" w:hAnsi="inherit" w:cs="Arial"/>
          <w:color w:val="262524"/>
          <w:sz w:val="22"/>
          <w:szCs w:val="22"/>
          <w:bdr w:val="none" w:sz="0" w:space="0" w:color="auto" w:frame="1"/>
        </w:rPr>
        <w:t>Madaba</w:t>
      </w:r>
      <w:proofErr w:type="spellEnd"/>
      <w:r w:rsidRPr="006768B5">
        <w:rPr>
          <w:rFonts w:ascii="inherit" w:eastAsia="Times New Roman" w:hAnsi="inherit" w:cs="Arial"/>
          <w:color w:val="262524"/>
          <w:sz w:val="22"/>
          <w:szCs w:val="22"/>
          <w:bdr w:val="none" w:sz="0" w:space="0" w:color="auto" w:frame="1"/>
        </w:rPr>
        <w:t>”, valorizzi ulteriormente il rapporto già attivo fra l’Università degli Studi di Perugia, l’Agenzia Italiana per la Cooperazione allo Sviluppo e il Ministero degli Affari Esteri e della Cooperazione Internazionale, aprendo prospettive di nuove collaborazioni, in particolare nell’ambito della promozione del turismo sostenibile e consapevole, già identificato dall’Agenda 2030 dell’ONU come una delle principali risposte alla crisi del settore dovuta all'emergenza pandemica”.</w:t>
      </w:r>
    </w:p>
    <w:p w14:paraId="4E32EB65"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EFFFE"/>
        <w:jc w:val="both"/>
        <w:rPr>
          <w:rFonts w:eastAsia="Times New Roman" w:cs="Arial"/>
          <w:color w:val="262524"/>
          <w:sz w:val="17"/>
          <w:szCs w:val="17"/>
          <w:bdr w:val="none" w:sz="0" w:space="0" w:color="auto"/>
        </w:rPr>
      </w:pPr>
      <w:r w:rsidRPr="006768B5">
        <w:rPr>
          <w:rFonts w:ascii="inherit" w:eastAsia="Times New Roman" w:hAnsi="inherit" w:cs="Arial"/>
          <w:color w:val="262524"/>
          <w:sz w:val="22"/>
          <w:szCs w:val="22"/>
          <w:bdr w:val="none" w:sz="0" w:space="0" w:color="auto" w:frame="1"/>
        </w:rPr>
        <w:br/>
      </w:r>
    </w:p>
    <w:p w14:paraId="127D6845"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s="Arial"/>
          <w:color w:val="262524"/>
          <w:sz w:val="17"/>
          <w:szCs w:val="17"/>
          <w:bdr w:val="none" w:sz="0" w:space="0" w:color="auto"/>
        </w:rPr>
      </w:pPr>
      <w:r w:rsidRPr="006768B5">
        <w:rPr>
          <w:rFonts w:ascii="inherit" w:eastAsia="Times New Roman" w:hAnsi="inherit" w:cs="Arial"/>
          <w:color w:val="262524"/>
          <w:sz w:val="22"/>
          <w:szCs w:val="22"/>
          <w:bdr w:val="none" w:sz="0" w:space="0" w:color="auto" w:frame="1"/>
        </w:rPr>
        <w:t>Il Rettore ha quindi concluso il suo intervento ringraziando tutte le Autorità civili, militari e religiose presenti, ed in particolare la Custodia di Terrasanta e la diplomazia italiana per il ruolo svolto in quest’area del Medioriente al fine di costruire percorsi di dialogo politico, culturale e interreligioso, nonché di crescita dei giovani, cui è affidato il compito di costruire un futuro di giustizia e pace.</w:t>
      </w:r>
    </w:p>
    <w:p w14:paraId="7015EC17"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s="Arial"/>
          <w:color w:val="262524"/>
          <w:sz w:val="17"/>
          <w:szCs w:val="17"/>
          <w:bdr w:val="none" w:sz="0" w:space="0" w:color="auto"/>
        </w:rPr>
      </w:pPr>
    </w:p>
    <w:p w14:paraId="140F2412"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s="Arial"/>
          <w:sz w:val="17"/>
          <w:szCs w:val="17"/>
          <w:bdr w:val="none" w:sz="0" w:space="0" w:color="auto"/>
        </w:rPr>
      </w:pPr>
      <w:r w:rsidRPr="006768B5">
        <w:rPr>
          <w:rFonts w:ascii="inherit" w:eastAsia="Times New Roman" w:hAnsi="inherit" w:cs="Arial"/>
          <w:sz w:val="22"/>
          <w:szCs w:val="22"/>
          <w:bdr w:val="none" w:sz="0" w:space="0" w:color="auto" w:frame="1"/>
        </w:rPr>
        <w:t xml:space="preserve">L’esposizione, che potrà essere visitata sino al 30 agosto 2021 e che ha ricevuto il patrocinio della Custodia di Terra Santa, intende divulgare al pubblico italiano le bellezze e l’importanza del patrimonio culturale della città di </w:t>
      </w:r>
      <w:proofErr w:type="spellStart"/>
      <w:r w:rsidRPr="006768B5">
        <w:rPr>
          <w:rFonts w:ascii="inherit" w:eastAsia="Times New Roman" w:hAnsi="inherit" w:cs="Arial"/>
          <w:sz w:val="22"/>
          <w:szCs w:val="22"/>
          <w:bdr w:val="none" w:sz="0" w:space="0" w:color="auto" w:frame="1"/>
        </w:rPr>
        <w:t>Madaba</w:t>
      </w:r>
      <w:proofErr w:type="spellEnd"/>
      <w:r w:rsidRPr="006768B5">
        <w:rPr>
          <w:rFonts w:ascii="inherit" w:eastAsia="Times New Roman" w:hAnsi="inherit" w:cs="Arial"/>
          <w:sz w:val="22"/>
          <w:szCs w:val="22"/>
          <w:bdr w:val="none" w:sz="0" w:space="0" w:color="auto" w:frame="1"/>
        </w:rPr>
        <w:t xml:space="preserve">, in Giordania, con particolare riguardo per i numerosi mosaici delle chiese </w:t>
      </w:r>
      <w:r w:rsidRPr="006768B5">
        <w:rPr>
          <w:rFonts w:ascii="inherit" w:eastAsia="Times New Roman" w:hAnsi="inherit" w:cs="Arial"/>
          <w:sz w:val="22"/>
          <w:szCs w:val="22"/>
          <w:bdr w:val="none" w:sz="0" w:space="0" w:color="auto" w:frame="1"/>
        </w:rPr>
        <w:lastRenderedPageBreak/>
        <w:t>bizantine, delle quali vengono ricostruiti gli ambienti tramite l’uso di nuove tecnologie, come la stampa 3D. Lo spazio liturgico degli edifici sacri alto medievali di Giordania, così come quello delle ricche dimore patrizie del VII sec d.C. riprende così vita, attraverso un percorso espositivo che tocca alcuni dei punti di interesse archeologici più importanti della città. </w:t>
      </w:r>
    </w:p>
    <w:p w14:paraId="23E787CE"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s="Arial"/>
          <w:sz w:val="17"/>
          <w:szCs w:val="17"/>
          <w:bdr w:val="none" w:sz="0" w:space="0" w:color="auto"/>
        </w:rPr>
      </w:pPr>
      <w:r w:rsidRPr="006768B5">
        <w:rPr>
          <w:rFonts w:ascii="inherit" w:eastAsia="Times New Roman" w:hAnsi="inherit" w:cs="Arial"/>
          <w:sz w:val="22"/>
          <w:szCs w:val="22"/>
          <w:bdr w:val="none" w:sz="0" w:space="0" w:color="auto" w:frame="1"/>
        </w:rPr>
        <w:br/>
      </w:r>
    </w:p>
    <w:p w14:paraId="0451A555"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s="Arial"/>
          <w:sz w:val="17"/>
          <w:szCs w:val="17"/>
          <w:bdr w:val="none" w:sz="0" w:space="0" w:color="auto"/>
        </w:rPr>
      </w:pPr>
      <w:r w:rsidRPr="006768B5">
        <w:rPr>
          <w:rFonts w:ascii="inherit" w:eastAsia="Times New Roman" w:hAnsi="inherit" w:cs="Arial"/>
          <w:sz w:val="22"/>
          <w:szCs w:val="22"/>
          <w:bdr w:val="none" w:sz="0" w:space="0" w:color="auto" w:frame="1"/>
        </w:rPr>
        <w:t>Il progetto si svolge sotto la direzione scientifica di Andrea Polcaro dell'Università degli Studi di Perugia e il coordinamento di Michele Morana,</w:t>
      </w:r>
      <w:r w:rsidRPr="006768B5">
        <w:rPr>
          <w:rFonts w:ascii="inherit" w:eastAsia="Times New Roman" w:hAnsi="inherit" w:cs="Arial"/>
          <w:color w:val="FB0007"/>
          <w:sz w:val="22"/>
          <w:szCs w:val="22"/>
          <w:bdr w:val="none" w:sz="0" w:space="0" w:color="auto" w:frame="1"/>
        </w:rPr>
        <w:t> </w:t>
      </w:r>
      <w:r w:rsidRPr="006768B5">
        <w:rPr>
          <w:rFonts w:ascii="inherit" w:eastAsia="Times New Roman" w:hAnsi="inherit" w:cs="Arial"/>
          <w:sz w:val="22"/>
          <w:szCs w:val="22"/>
          <w:bdr w:val="none" w:sz="0" w:space="0" w:color="auto" w:frame="1"/>
        </w:rPr>
        <w:t>titolare della sede AICS di Amman e del Dipartimento delle Antichità di Giordania. “L’importanza di questo progetto risiede nell’innovazione, la replicabilità e la sostenibilità dell’intervento volto a tutelare beni appartenenti al patrimonio culturale e storico della Giordania e nella valorizzazione del ruolo che tale patrimonio riveste nello sviluppo del Paese – ha evidenziato </w:t>
      </w:r>
      <w:r w:rsidRPr="006768B5">
        <w:rPr>
          <w:rFonts w:ascii="inherit" w:eastAsia="Times New Roman" w:hAnsi="inherit" w:cs="Arial"/>
          <w:b/>
          <w:bCs/>
          <w:sz w:val="22"/>
          <w:szCs w:val="22"/>
          <w:bdr w:val="none" w:sz="0" w:space="0" w:color="auto" w:frame="1"/>
        </w:rPr>
        <w:t>Michele Morana</w:t>
      </w:r>
      <w:r w:rsidRPr="006768B5">
        <w:rPr>
          <w:rFonts w:ascii="inherit" w:eastAsia="Times New Roman" w:hAnsi="inherit" w:cs="Arial"/>
          <w:sz w:val="22"/>
          <w:szCs w:val="22"/>
          <w:bdr w:val="none" w:sz="0" w:space="0" w:color="auto" w:frame="1"/>
        </w:rPr>
        <w:t>, titolare della sede AICS di Amman -. Ci auguriamo che il sostegno italiano, con la collaborazione dell’Università degli Studi di Perugia, possa favorire il processo di conservazione delle tradizioni e dei beni culturali del Paese, facilitando gli sforzi della Giordania volti alla stabilizzazione economica anche attraverso interventi a tutela del patrimonio culturale, e assicurando allo stesso tempo piena </w:t>
      </w:r>
      <w:r w:rsidRPr="006768B5">
        <w:rPr>
          <w:rFonts w:ascii="inherit" w:eastAsia="Times New Roman" w:hAnsi="inherit" w:cs="Arial"/>
          <w:i/>
          <w:iCs/>
          <w:sz w:val="22"/>
          <w:szCs w:val="22"/>
          <w:bdr w:val="none" w:sz="0" w:space="0" w:color="auto" w:frame="1"/>
        </w:rPr>
        <w:t>ownership</w:t>
      </w:r>
      <w:r w:rsidRPr="006768B5">
        <w:rPr>
          <w:rFonts w:ascii="inherit" w:eastAsia="Times New Roman" w:hAnsi="inherit" w:cs="Arial"/>
          <w:sz w:val="22"/>
          <w:szCs w:val="22"/>
          <w:bdr w:val="none" w:sz="0" w:space="0" w:color="auto" w:frame="1"/>
        </w:rPr>
        <w:t> delle azioni a sostegno della strategia di sviluppo nazionale”.</w:t>
      </w:r>
    </w:p>
    <w:p w14:paraId="4B4069E5"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s="Arial"/>
          <w:sz w:val="17"/>
          <w:szCs w:val="17"/>
          <w:bdr w:val="none" w:sz="0" w:space="0" w:color="auto"/>
        </w:rPr>
      </w:pPr>
      <w:r w:rsidRPr="006768B5">
        <w:rPr>
          <w:rFonts w:ascii="inherit" w:eastAsia="Times New Roman" w:hAnsi="inherit" w:cs="Arial"/>
          <w:sz w:val="22"/>
          <w:szCs w:val="22"/>
          <w:bdr w:val="none" w:sz="0" w:space="0" w:color="auto" w:frame="1"/>
        </w:rPr>
        <w:br/>
      </w:r>
    </w:p>
    <w:p w14:paraId="012B62FE"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s="Arial"/>
          <w:sz w:val="17"/>
          <w:szCs w:val="17"/>
          <w:bdr w:val="none" w:sz="0" w:space="0" w:color="auto"/>
        </w:rPr>
      </w:pPr>
      <w:r w:rsidRPr="006768B5">
        <w:rPr>
          <w:rFonts w:ascii="inherit" w:eastAsia="Times New Roman" w:hAnsi="inherit" w:cs="Arial"/>
          <w:sz w:val="22"/>
          <w:szCs w:val="22"/>
          <w:bdr w:val="none" w:sz="0" w:space="0" w:color="auto" w:frame="1"/>
        </w:rPr>
        <w:t>Alla cerimonia inaugurale sono inoltre intervenuti, </w:t>
      </w:r>
      <w:r w:rsidRPr="006768B5">
        <w:rPr>
          <w:rFonts w:ascii="inherit" w:eastAsia="Times New Roman" w:hAnsi="inherit" w:cs="Arial"/>
          <w:b/>
          <w:bCs/>
          <w:sz w:val="22"/>
          <w:szCs w:val="22"/>
          <w:bdr w:val="none" w:sz="0" w:space="0" w:color="auto" w:frame="1"/>
        </w:rPr>
        <w:t>Luca Maestripieri</w:t>
      </w:r>
      <w:r w:rsidRPr="006768B5">
        <w:rPr>
          <w:rFonts w:ascii="inherit" w:eastAsia="Times New Roman" w:hAnsi="inherit" w:cs="Arial"/>
          <w:sz w:val="22"/>
          <w:szCs w:val="22"/>
          <w:bdr w:val="none" w:sz="0" w:space="0" w:color="auto" w:frame="1"/>
        </w:rPr>
        <w:t>, Direttore dell’Agenzia Italiana per la Cooperazione allo Sviluppo (AICS), S.E. </w:t>
      </w:r>
      <w:r w:rsidRPr="006768B5">
        <w:rPr>
          <w:rFonts w:ascii="inherit" w:eastAsia="Times New Roman" w:hAnsi="inherit" w:cs="Arial"/>
          <w:b/>
          <w:bCs/>
          <w:sz w:val="22"/>
          <w:szCs w:val="22"/>
          <w:bdr w:val="none" w:sz="0" w:space="0" w:color="auto" w:frame="1"/>
        </w:rPr>
        <w:t xml:space="preserve">Fabio </w:t>
      </w:r>
      <w:proofErr w:type="spellStart"/>
      <w:r w:rsidRPr="006768B5">
        <w:rPr>
          <w:rFonts w:ascii="inherit" w:eastAsia="Times New Roman" w:hAnsi="inherit" w:cs="Arial"/>
          <w:b/>
          <w:bCs/>
          <w:sz w:val="22"/>
          <w:szCs w:val="22"/>
          <w:bdr w:val="none" w:sz="0" w:space="0" w:color="auto" w:frame="1"/>
        </w:rPr>
        <w:t>Cassese</w:t>
      </w:r>
      <w:proofErr w:type="spellEnd"/>
      <w:r w:rsidRPr="006768B5">
        <w:rPr>
          <w:rFonts w:ascii="inherit" w:eastAsia="Times New Roman" w:hAnsi="inherit" w:cs="Arial"/>
          <w:b/>
          <w:bCs/>
          <w:sz w:val="22"/>
          <w:szCs w:val="22"/>
          <w:bdr w:val="none" w:sz="0" w:space="0" w:color="auto" w:frame="1"/>
        </w:rPr>
        <w:t>,</w:t>
      </w:r>
      <w:r w:rsidRPr="006768B5">
        <w:rPr>
          <w:rFonts w:ascii="inherit" w:eastAsia="Times New Roman" w:hAnsi="inherit" w:cs="Arial"/>
          <w:sz w:val="22"/>
          <w:szCs w:val="22"/>
          <w:bdr w:val="none" w:sz="0" w:space="0" w:color="auto" w:frame="1"/>
        </w:rPr>
        <w:t> Ambasciatore d’Italia in Giordania, S.E. </w:t>
      </w:r>
      <w:proofErr w:type="spellStart"/>
      <w:r w:rsidRPr="006768B5">
        <w:rPr>
          <w:rFonts w:ascii="inherit" w:eastAsia="Times New Roman" w:hAnsi="inherit" w:cs="Arial"/>
          <w:b/>
          <w:bCs/>
          <w:sz w:val="22"/>
          <w:szCs w:val="22"/>
          <w:bdr w:val="none" w:sz="0" w:space="0" w:color="auto" w:frame="1"/>
        </w:rPr>
        <w:t>Fayiz</w:t>
      </w:r>
      <w:proofErr w:type="spellEnd"/>
      <w:r w:rsidRPr="006768B5">
        <w:rPr>
          <w:rFonts w:ascii="inherit" w:eastAsia="Times New Roman" w:hAnsi="inherit" w:cs="Arial"/>
          <w:b/>
          <w:bCs/>
          <w:sz w:val="22"/>
          <w:szCs w:val="22"/>
          <w:bdr w:val="none" w:sz="0" w:space="0" w:color="auto" w:frame="1"/>
        </w:rPr>
        <w:t xml:space="preserve"> </w:t>
      </w:r>
      <w:proofErr w:type="spellStart"/>
      <w:r w:rsidRPr="006768B5">
        <w:rPr>
          <w:rFonts w:ascii="inherit" w:eastAsia="Times New Roman" w:hAnsi="inherit" w:cs="Arial"/>
          <w:b/>
          <w:bCs/>
          <w:sz w:val="22"/>
          <w:szCs w:val="22"/>
          <w:bdr w:val="none" w:sz="0" w:space="0" w:color="auto" w:frame="1"/>
        </w:rPr>
        <w:t>Fahran</w:t>
      </w:r>
      <w:proofErr w:type="spellEnd"/>
      <w:r w:rsidRPr="006768B5">
        <w:rPr>
          <w:rFonts w:ascii="inherit" w:eastAsia="Times New Roman" w:hAnsi="inherit" w:cs="Arial"/>
          <w:b/>
          <w:bCs/>
          <w:sz w:val="22"/>
          <w:szCs w:val="22"/>
          <w:bdr w:val="none" w:sz="0" w:space="0" w:color="auto" w:frame="1"/>
        </w:rPr>
        <w:t xml:space="preserve"> </w:t>
      </w:r>
      <w:proofErr w:type="spellStart"/>
      <w:r w:rsidRPr="006768B5">
        <w:rPr>
          <w:rFonts w:ascii="inherit" w:eastAsia="Times New Roman" w:hAnsi="inherit" w:cs="Arial"/>
          <w:b/>
          <w:bCs/>
          <w:sz w:val="22"/>
          <w:szCs w:val="22"/>
          <w:bdr w:val="none" w:sz="0" w:space="0" w:color="auto" w:frame="1"/>
        </w:rPr>
        <w:t>Saleh</w:t>
      </w:r>
      <w:proofErr w:type="spellEnd"/>
      <w:r w:rsidRPr="006768B5">
        <w:rPr>
          <w:rFonts w:ascii="inherit" w:eastAsia="Times New Roman" w:hAnsi="inherit" w:cs="Arial"/>
          <w:b/>
          <w:bCs/>
          <w:sz w:val="22"/>
          <w:szCs w:val="22"/>
          <w:bdr w:val="none" w:sz="0" w:space="0" w:color="auto" w:frame="1"/>
        </w:rPr>
        <w:t xml:space="preserve"> Khouri</w:t>
      </w:r>
      <w:r w:rsidRPr="006768B5">
        <w:rPr>
          <w:rFonts w:ascii="inherit" w:eastAsia="Times New Roman" w:hAnsi="inherit" w:cs="Arial"/>
          <w:sz w:val="22"/>
          <w:szCs w:val="22"/>
          <w:bdr w:val="none" w:sz="0" w:space="0" w:color="auto" w:frame="1"/>
        </w:rPr>
        <w:t>, Ambasciatore della Giordania in Italia</w:t>
      </w:r>
      <w:r w:rsidRPr="006768B5">
        <w:rPr>
          <w:rFonts w:ascii="inherit" w:eastAsia="Times New Roman" w:hAnsi="inherit" w:cs="Arial"/>
          <w:color w:val="181817"/>
          <w:sz w:val="22"/>
          <w:szCs w:val="22"/>
          <w:bdr w:val="none" w:sz="0" w:space="0" w:color="auto" w:frame="1"/>
        </w:rPr>
        <w:t>, </w:t>
      </w:r>
      <w:r w:rsidRPr="006768B5">
        <w:rPr>
          <w:rFonts w:ascii="inherit" w:eastAsia="Times New Roman" w:hAnsi="inherit" w:cs="Arial"/>
          <w:b/>
          <w:bCs/>
          <w:sz w:val="22"/>
          <w:szCs w:val="22"/>
          <w:bdr w:val="none" w:sz="0" w:space="0" w:color="auto" w:frame="1"/>
        </w:rPr>
        <w:t xml:space="preserve">Ahmed </w:t>
      </w:r>
      <w:proofErr w:type="spellStart"/>
      <w:r w:rsidRPr="006768B5">
        <w:rPr>
          <w:rFonts w:ascii="inherit" w:eastAsia="Times New Roman" w:hAnsi="inherit" w:cs="Arial"/>
          <w:b/>
          <w:bCs/>
          <w:sz w:val="22"/>
          <w:szCs w:val="22"/>
          <w:bdr w:val="none" w:sz="0" w:space="0" w:color="auto" w:frame="1"/>
        </w:rPr>
        <w:t>Ash-Shami</w:t>
      </w:r>
      <w:proofErr w:type="spellEnd"/>
      <w:r w:rsidRPr="006768B5">
        <w:rPr>
          <w:rFonts w:ascii="inherit" w:eastAsia="Times New Roman" w:hAnsi="inherit" w:cs="Arial"/>
          <w:sz w:val="22"/>
          <w:szCs w:val="22"/>
          <w:bdr w:val="none" w:sz="0" w:space="0" w:color="auto" w:frame="1"/>
        </w:rPr>
        <w:t>, Direttore Generale del Dipartimento delle Antichità di Giordania - in collegamento </w:t>
      </w:r>
      <w:r w:rsidRPr="006768B5">
        <w:rPr>
          <w:rFonts w:ascii="inherit" w:eastAsia="Times New Roman" w:hAnsi="inherit" w:cs="Arial"/>
          <w:i/>
          <w:iCs/>
          <w:sz w:val="22"/>
          <w:szCs w:val="22"/>
          <w:bdr w:val="none" w:sz="0" w:space="0" w:color="auto" w:frame="1"/>
        </w:rPr>
        <w:t>streaming - </w:t>
      </w:r>
      <w:r w:rsidRPr="006768B5">
        <w:rPr>
          <w:rFonts w:ascii="inherit" w:eastAsia="Times New Roman" w:hAnsi="inherit" w:cs="Arial"/>
          <w:sz w:val="22"/>
          <w:szCs w:val="22"/>
          <w:bdr w:val="none" w:sz="0" w:space="0" w:color="auto" w:frame="1"/>
        </w:rPr>
        <w:t>e, per l’Ateneo di Perugia, Dipartimento di Lettere - Lingue, letterature e Civiltà antiche e moderne, </w:t>
      </w:r>
      <w:r w:rsidRPr="006768B5">
        <w:rPr>
          <w:rFonts w:ascii="inherit" w:eastAsia="Times New Roman" w:hAnsi="inherit" w:cs="Arial"/>
          <w:b/>
          <w:bCs/>
          <w:sz w:val="22"/>
          <w:szCs w:val="22"/>
          <w:bdr w:val="none" w:sz="0" w:space="0" w:color="auto" w:frame="1"/>
        </w:rPr>
        <w:t>Andrea Polcaro, </w:t>
      </w:r>
      <w:r w:rsidRPr="006768B5">
        <w:rPr>
          <w:rFonts w:ascii="inherit" w:eastAsia="Times New Roman" w:hAnsi="inherit" w:cs="Arial"/>
          <w:sz w:val="22"/>
          <w:szCs w:val="22"/>
          <w:bdr w:val="none" w:sz="0" w:space="0" w:color="auto" w:frame="1"/>
        </w:rPr>
        <w:t>direttore scientifico del progetto e </w:t>
      </w:r>
      <w:r w:rsidRPr="006768B5">
        <w:rPr>
          <w:rFonts w:ascii="inherit" w:eastAsia="Times New Roman" w:hAnsi="inherit" w:cs="Arial"/>
          <w:b/>
          <w:bCs/>
          <w:sz w:val="22"/>
          <w:szCs w:val="22"/>
          <w:bdr w:val="none" w:sz="0" w:space="0" w:color="auto" w:frame="1"/>
        </w:rPr>
        <w:t>Donatella Scortecci,</w:t>
      </w:r>
      <w:r w:rsidRPr="006768B5">
        <w:rPr>
          <w:rFonts w:ascii="inherit" w:eastAsia="Times New Roman" w:hAnsi="inherit" w:cs="Arial"/>
          <w:sz w:val="22"/>
          <w:szCs w:val="22"/>
          <w:bdr w:val="none" w:sz="0" w:space="0" w:color="auto" w:frame="1"/>
        </w:rPr>
        <w:t> co-curatrice della mostra.</w:t>
      </w:r>
    </w:p>
    <w:p w14:paraId="788153DB"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s="Arial"/>
          <w:sz w:val="17"/>
          <w:szCs w:val="17"/>
          <w:bdr w:val="none" w:sz="0" w:space="0" w:color="auto"/>
        </w:rPr>
      </w:pPr>
      <w:r w:rsidRPr="006768B5">
        <w:rPr>
          <w:rFonts w:ascii="inherit" w:eastAsia="Times New Roman" w:hAnsi="inherit" w:cs="Arial"/>
          <w:sz w:val="22"/>
          <w:szCs w:val="22"/>
          <w:bdr w:val="none" w:sz="0" w:space="0" w:color="auto" w:frame="1"/>
        </w:rPr>
        <w:br/>
      </w:r>
    </w:p>
    <w:p w14:paraId="147AF17F"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s="Arial"/>
          <w:sz w:val="17"/>
          <w:szCs w:val="17"/>
          <w:bdr w:val="none" w:sz="0" w:space="0" w:color="auto"/>
        </w:rPr>
      </w:pPr>
      <w:r w:rsidRPr="006768B5">
        <w:rPr>
          <w:rFonts w:ascii="inherit" w:eastAsia="Times New Roman" w:hAnsi="inherit" w:cs="Arial"/>
          <w:sz w:val="22"/>
          <w:szCs w:val="22"/>
          <w:bdr w:val="none" w:sz="0" w:space="0" w:color="auto" w:frame="1"/>
        </w:rPr>
        <w:t xml:space="preserve">Il progetto “Scoprire </w:t>
      </w:r>
      <w:proofErr w:type="spellStart"/>
      <w:r w:rsidRPr="006768B5">
        <w:rPr>
          <w:rFonts w:ascii="inherit" w:eastAsia="Times New Roman" w:hAnsi="inherit" w:cs="Arial"/>
          <w:sz w:val="22"/>
          <w:szCs w:val="22"/>
          <w:bdr w:val="none" w:sz="0" w:space="0" w:color="auto" w:frame="1"/>
        </w:rPr>
        <w:t>Madaba</w:t>
      </w:r>
      <w:proofErr w:type="spellEnd"/>
      <w:r w:rsidRPr="006768B5">
        <w:rPr>
          <w:rFonts w:ascii="inherit" w:eastAsia="Times New Roman" w:hAnsi="inherit" w:cs="Arial"/>
          <w:sz w:val="22"/>
          <w:szCs w:val="22"/>
          <w:bdr w:val="none" w:sz="0" w:space="0" w:color="auto" w:frame="1"/>
        </w:rPr>
        <w:t xml:space="preserve">” sarà anche volto alla formazione del locale personale del Dipartimento delle Antichità di Giordania riguardo tematiche fondamentali per lo sviluppo economico della regione, quali la valorizzazione, la protezione e la gestione del patrimonio culturale della città di </w:t>
      </w:r>
      <w:proofErr w:type="spellStart"/>
      <w:r w:rsidRPr="006768B5">
        <w:rPr>
          <w:rFonts w:ascii="inherit" w:eastAsia="Times New Roman" w:hAnsi="inherit" w:cs="Arial"/>
          <w:sz w:val="22"/>
          <w:szCs w:val="22"/>
          <w:bdr w:val="none" w:sz="0" w:space="0" w:color="auto" w:frame="1"/>
        </w:rPr>
        <w:t>Madaba</w:t>
      </w:r>
      <w:proofErr w:type="spellEnd"/>
      <w:r w:rsidRPr="006768B5">
        <w:rPr>
          <w:rFonts w:ascii="inherit" w:eastAsia="Times New Roman" w:hAnsi="inherit" w:cs="Arial"/>
          <w:sz w:val="22"/>
          <w:szCs w:val="22"/>
          <w:bdr w:val="none" w:sz="0" w:space="0" w:color="auto" w:frame="1"/>
        </w:rPr>
        <w:t>. </w:t>
      </w:r>
    </w:p>
    <w:p w14:paraId="4B8F5A98"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s="Arial"/>
          <w:sz w:val="17"/>
          <w:szCs w:val="17"/>
          <w:bdr w:val="none" w:sz="0" w:space="0" w:color="auto"/>
        </w:rPr>
      </w:pPr>
      <w:r w:rsidRPr="006768B5">
        <w:rPr>
          <w:rFonts w:ascii="inherit" w:eastAsia="Times New Roman" w:hAnsi="inherit" w:cs="Arial"/>
          <w:sz w:val="22"/>
          <w:szCs w:val="22"/>
          <w:bdr w:val="none" w:sz="0" w:space="0" w:color="auto" w:frame="1"/>
        </w:rPr>
        <w:t>Prevede inoltre attività in loco volte alla riabilitazione di alcune aree archeologiche urbane, attualmente poco fruibili dai visitatori ma ricche di resti archeologici e splendidi mosaici di epoca bizantina, hanno spiegato il Prof. </w:t>
      </w:r>
      <w:r w:rsidRPr="006768B5">
        <w:rPr>
          <w:rFonts w:ascii="inherit" w:eastAsia="Times New Roman" w:hAnsi="inherit" w:cs="Arial"/>
          <w:b/>
          <w:bCs/>
          <w:sz w:val="22"/>
          <w:szCs w:val="22"/>
          <w:bdr w:val="none" w:sz="0" w:space="0" w:color="auto" w:frame="1"/>
        </w:rPr>
        <w:t>Andrea Polcaro</w:t>
      </w:r>
      <w:r w:rsidRPr="006768B5">
        <w:rPr>
          <w:rFonts w:ascii="inherit" w:eastAsia="Times New Roman" w:hAnsi="inherit" w:cs="Arial"/>
          <w:sz w:val="22"/>
          <w:szCs w:val="22"/>
          <w:bdr w:val="none" w:sz="0" w:space="0" w:color="auto" w:frame="1"/>
        </w:rPr>
        <w:t> e la Prof.ssa </w:t>
      </w:r>
      <w:r w:rsidRPr="006768B5">
        <w:rPr>
          <w:rFonts w:ascii="inherit" w:eastAsia="Times New Roman" w:hAnsi="inherit" w:cs="Arial"/>
          <w:b/>
          <w:bCs/>
          <w:sz w:val="22"/>
          <w:szCs w:val="22"/>
          <w:bdr w:val="none" w:sz="0" w:space="0" w:color="auto" w:frame="1"/>
        </w:rPr>
        <w:t>Donatella Scortecci</w:t>
      </w:r>
      <w:r w:rsidRPr="006768B5">
        <w:rPr>
          <w:rFonts w:ascii="inherit" w:eastAsia="Times New Roman" w:hAnsi="inherit" w:cs="Arial"/>
          <w:sz w:val="22"/>
          <w:szCs w:val="22"/>
          <w:bdr w:val="none" w:sz="0" w:space="0" w:color="auto" w:frame="1"/>
        </w:rPr>
        <w:t xml:space="preserve">. In questo ambito, gli specialisti del Dipartimento di Lettere dell'Università degli Studi di Perugia, insieme ai colleghi giordani, coordineranno i lavori di scavo archeologico, restauro e valorizzazione di importanti aree archeologiche della città quali il Palazzo Bruciato, la chiesa del profeta Elia, la chiesa degli Apostoli e la Cattedrale di </w:t>
      </w:r>
      <w:proofErr w:type="spellStart"/>
      <w:r w:rsidRPr="006768B5">
        <w:rPr>
          <w:rFonts w:ascii="inherit" w:eastAsia="Times New Roman" w:hAnsi="inherit" w:cs="Arial"/>
          <w:sz w:val="22"/>
          <w:szCs w:val="22"/>
          <w:bdr w:val="none" w:sz="0" w:space="0" w:color="auto" w:frame="1"/>
        </w:rPr>
        <w:t>Madaba</w:t>
      </w:r>
      <w:proofErr w:type="spellEnd"/>
      <w:r w:rsidRPr="006768B5">
        <w:rPr>
          <w:rFonts w:ascii="inherit" w:eastAsia="Times New Roman" w:hAnsi="inherit" w:cs="Arial"/>
          <w:sz w:val="22"/>
          <w:szCs w:val="22"/>
          <w:bdr w:val="none" w:sz="0" w:space="0" w:color="auto" w:frame="1"/>
        </w:rPr>
        <w:t xml:space="preserve">. ‘Scoprire </w:t>
      </w:r>
      <w:proofErr w:type="spellStart"/>
      <w:r w:rsidRPr="006768B5">
        <w:rPr>
          <w:rFonts w:ascii="inherit" w:eastAsia="Times New Roman" w:hAnsi="inherit" w:cs="Arial"/>
          <w:sz w:val="22"/>
          <w:szCs w:val="22"/>
          <w:bdr w:val="none" w:sz="0" w:space="0" w:color="auto" w:frame="1"/>
        </w:rPr>
        <w:t>Madaba</w:t>
      </w:r>
      <w:proofErr w:type="spellEnd"/>
      <w:r w:rsidRPr="006768B5">
        <w:rPr>
          <w:rFonts w:ascii="inherit" w:eastAsia="Times New Roman" w:hAnsi="inherit" w:cs="Arial"/>
          <w:sz w:val="22"/>
          <w:szCs w:val="22"/>
          <w:bdr w:val="none" w:sz="0" w:space="0" w:color="auto" w:frame="1"/>
        </w:rPr>
        <w:t>’ sarà caratterizzato anche da due anni di lavori sul campo tra il 2021 e il 2022 e da alcuni specifici eventi di divulgazione.</w:t>
      </w:r>
    </w:p>
    <w:p w14:paraId="559361AB"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s="Arial"/>
          <w:sz w:val="17"/>
          <w:szCs w:val="17"/>
          <w:bdr w:val="none" w:sz="0" w:space="0" w:color="auto"/>
        </w:rPr>
      </w:pPr>
      <w:r w:rsidRPr="006768B5">
        <w:rPr>
          <w:rFonts w:ascii="inherit" w:eastAsia="Times New Roman" w:hAnsi="inherit" w:cs="Arial"/>
          <w:sz w:val="22"/>
          <w:szCs w:val="22"/>
          <w:bdr w:val="none" w:sz="0" w:space="0" w:color="auto" w:frame="1"/>
        </w:rPr>
        <w:br/>
      </w:r>
    </w:p>
    <w:p w14:paraId="1216BEE8"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s="Arial"/>
          <w:sz w:val="17"/>
          <w:szCs w:val="17"/>
          <w:bdr w:val="none" w:sz="0" w:space="0" w:color="auto"/>
        </w:rPr>
      </w:pPr>
      <w:r w:rsidRPr="006768B5">
        <w:rPr>
          <w:rFonts w:ascii="inherit" w:eastAsia="Times New Roman" w:hAnsi="inherit" w:cs="Arial"/>
          <w:sz w:val="22"/>
          <w:szCs w:val="22"/>
          <w:bdr w:val="none" w:sz="0" w:space="0" w:color="auto" w:frame="1"/>
        </w:rPr>
        <w:t>Presenti, inoltre, alla manifestazione odierna, </w:t>
      </w:r>
      <w:r w:rsidRPr="006768B5">
        <w:rPr>
          <w:rFonts w:ascii="inherit" w:eastAsia="Times New Roman" w:hAnsi="inherit" w:cs="Arial"/>
          <w:b/>
          <w:bCs/>
          <w:sz w:val="22"/>
          <w:szCs w:val="22"/>
          <w:bdr w:val="none" w:sz="0" w:space="0" w:color="auto" w:frame="1"/>
        </w:rPr>
        <w:t>Donatella Tesi,</w:t>
      </w:r>
      <w:r w:rsidRPr="006768B5">
        <w:rPr>
          <w:rFonts w:ascii="inherit" w:eastAsia="Times New Roman" w:hAnsi="inherit" w:cs="Arial"/>
          <w:sz w:val="22"/>
          <w:szCs w:val="22"/>
          <w:bdr w:val="none" w:sz="0" w:space="0" w:color="auto" w:frame="1"/>
        </w:rPr>
        <w:t> presidente della Regione Umbria, </w:t>
      </w:r>
      <w:r w:rsidRPr="006768B5">
        <w:rPr>
          <w:rFonts w:ascii="inherit" w:eastAsia="Times New Roman" w:hAnsi="inherit" w:cs="Arial"/>
          <w:b/>
          <w:bCs/>
          <w:sz w:val="22"/>
          <w:szCs w:val="22"/>
          <w:bdr w:val="none" w:sz="0" w:space="0" w:color="auto" w:frame="1"/>
        </w:rPr>
        <w:t xml:space="preserve">Michele </w:t>
      </w:r>
      <w:proofErr w:type="spellStart"/>
      <w:r w:rsidRPr="006768B5">
        <w:rPr>
          <w:rFonts w:ascii="inherit" w:eastAsia="Times New Roman" w:hAnsi="inherit" w:cs="Arial"/>
          <w:b/>
          <w:bCs/>
          <w:sz w:val="22"/>
          <w:szCs w:val="22"/>
          <w:bdr w:val="none" w:sz="0" w:space="0" w:color="auto" w:frame="1"/>
        </w:rPr>
        <w:t>Toniaccini</w:t>
      </w:r>
      <w:proofErr w:type="spellEnd"/>
      <w:r w:rsidRPr="006768B5">
        <w:rPr>
          <w:rFonts w:ascii="inherit" w:eastAsia="Times New Roman" w:hAnsi="inherit" w:cs="Arial"/>
          <w:sz w:val="22"/>
          <w:szCs w:val="22"/>
          <w:bdr w:val="none" w:sz="0" w:space="0" w:color="auto" w:frame="1"/>
        </w:rPr>
        <w:t>, presidente Anci Umbria, </w:t>
      </w:r>
      <w:r w:rsidRPr="006768B5">
        <w:rPr>
          <w:rFonts w:ascii="inherit" w:eastAsia="Times New Roman" w:hAnsi="inherit" w:cs="Arial"/>
          <w:b/>
          <w:bCs/>
          <w:sz w:val="22"/>
          <w:szCs w:val="22"/>
          <w:bdr w:val="none" w:sz="0" w:space="0" w:color="auto" w:frame="1"/>
        </w:rPr>
        <w:t>Stefania Proietti</w:t>
      </w:r>
      <w:r w:rsidRPr="006768B5">
        <w:rPr>
          <w:rFonts w:ascii="inherit" w:eastAsia="Times New Roman" w:hAnsi="inherit" w:cs="Arial"/>
          <w:sz w:val="22"/>
          <w:szCs w:val="22"/>
          <w:bdr w:val="none" w:sz="0" w:space="0" w:color="auto" w:frame="1"/>
        </w:rPr>
        <w:t>, Sindaco di Assisi, </w:t>
      </w:r>
      <w:r w:rsidRPr="006768B5">
        <w:rPr>
          <w:rFonts w:ascii="inherit" w:eastAsia="Times New Roman" w:hAnsi="inherit" w:cs="Arial"/>
          <w:b/>
          <w:bCs/>
          <w:sz w:val="22"/>
          <w:szCs w:val="22"/>
          <w:bdr w:val="none" w:sz="0" w:space="0" w:color="auto" w:frame="1"/>
        </w:rPr>
        <w:t xml:space="preserve">Giorgio </w:t>
      </w:r>
      <w:proofErr w:type="spellStart"/>
      <w:r w:rsidRPr="006768B5">
        <w:rPr>
          <w:rFonts w:ascii="inherit" w:eastAsia="Times New Roman" w:hAnsi="inherit" w:cs="Arial"/>
          <w:b/>
          <w:bCs/>
          <w:sz w:val="22"/>
          <w:szCs w:val="22"/>
          <w:bdr w:val="none" w:sz="0" w:space="0" w:color="auto" w:frame="1"/>
        </w:rPr>
        <w:t>Mencaroni</w:t>
      </w:r>
      <w:proofErr w:type="spellEnd"/>
      <w:r w:rsidRPr="006768B5">
        <w:rPr>
          <w:rFonts w:ascii="inherit" w:eastAsia="Times New Roman" w:hAnsi="inherit" w:cs="Arial"/>
          <w:sz w:val="22"/>
          <w:szCs w:val="22"/>
          <w:bdr w:val="none" w:sz="0" w:space="0" w:color="auto" w:frame="1"/>
        </w:rPr>
        <w:t>, Presidente Camera di Commercio dell’Umbria, </w:t>
      </w:r>
      <w:r w:rsidRPr="006768B5">
        <w:rPr>
          <w:rFonts w:ascii="inherit" w:eastAsia="Times New Roman" w:hAnsi="inherit" w:cs="Arial"/>
          <w:b/>
          <w:bCs/>
          <w:sz w:val="22"/>
          <w:szCs w:val="22"/>
          <w:bdr w:val="none" w:sz="0" w:space="0" w:color="auto" w:frame="1"/>
        </w:rPr>
        <w:t>padre Francesco Patton</w:t>
      </w:r>
      <w:r w:rsidRPr="006768B5">
        <w:rPr>
          <w:rFonts w:ascii="inherit" w:eastAsia="Times New Roman" w:hAnsi="inherit" w:cs="Arial"/>
          <w:sz w:val="22"/>
          <w:szCs w:val="22"/>
          <w:bdr w:val="none" w:sz="0" w:space="0" w:color="auto" w:frame="1"/>
        </w:rPr>
        <w:t>, Custode di Terra Santa, </w:t>
      </w:r>
      <w:r w:rsidRPr="006768B5">
        <w:rPr>
          <w:rFonts w:ascii="inherit" w:eastAsia="Times New Roman" w:hAnsi="inherit" w:cs="Arial"/>
          <w:b/>
          <w:bCs/>
          <w:sz w:val="22"/>
          <w:szCs w:val="22"/>
          <w:bdr w:val="none" w:sz="0" w:space="0" w:color="auto" w:frame="1"/>
        </w:rPr>
        <w:t>padre Marco Moroni</w:t>
      </w:r>
      <w:r w:rsidRPr="006768B5">
        <w:rPr>
          <w:rFonts w:ascii="inherit" w:eastAsia="Times New Roman" w:hAnsi="inherit" w:cs="Arial"/>
          <w:sz w:val="22"/>
          <w:szCs w:val="22"/>
          <w:bdr w:val="none" w:sz="0" w:space="0" w:color="auto" w:frame="1"/>
        </w:rPr>
        <w:t>, Custode del Sacro Convento di San Francesco in Assisi, </w:t>
      </w:r>
      <w:r w:rsidRPr="006768B5">
        <w:rPr>
          <w:rFonts w:ascii="inherit" w:eastAsia="Times New Roman" w:hAnsi="inherit" w:cs="Arial"/>
          <w:b/>
          <w:bCs/>
          <w:sz w:val="22"/>
          <w:szCs w:val="22"/>
          <w:bdr w:val="none" w:sz="0" w:space="0" w:color="auto" w:frame="1"/>
        </w:rPr>
        <w:t xml:space="preserve">padre Ibrahim </w:t>
      </w:r>
      <w:proofErr w:type="spellStart"/>
      <w:r w:rsidRPr="006768B5">
        <w:rPr>
          <w:rFonts w:ascii="inherit" w:eastAsia="Times New Roman" w:hAnsi="inherit" w:cs="Arial"/>
          <w:b/>
          <w:bCs/>
          <w:sz w:val="22"/>
          <w:szCs w:val="22"/>
          <w:bdr w:val="none" w:sz="0" w:space="0" w:color="auto" w:frame="1"/>
        </w:rPr>
        <w:t>Faltas</w:t>
      </w:r>
      <w:proofErr w:type="spellEnd"/>
      <w:r w:rsidRPr="006768B5">
        <w:rPr>
          <w:rFonts w:ascii="inherit" w:eastAsia="Times New Roman" w:hAnsi="inherit" w:cs="Arial"/>
          <w:sz w:val="22"/>
          <w:szCs w:val="22"/>
          <w:bdr w:val="none" w:sz="0" w:space="0" w:color="auto" w:frame="1"/>
        </w:rPr>
        <w:t>, Discreto della Custodia di Terra Santa, </w:t>
      </w:r>
      <w:r w:rsidRPr="006768B5">
        <w:rPr>
          <w:rFonts w:ascii="inherit" w:eastAsia="Times New Roman" w:hAnsi="inherit" w:cs="Arial"/>
          <w:b/>
          <w:bCs/>
          <w:sz w:val="22"/>
          <w:szCs w:val="22"/>
          <w:bdr w:val="none" w:sz="0" w:space="0" w:color="auto" w:frame="1"/>
        </w:rPr>
        <w:t>padre Francesco Piloni</w:t>
      </w:r>
      <w:r w:rsidRPr="006768B5">
        <w:rPr>
          <w:rFonts w:ascii="inherit" w:eastAsia="Times New Roman" w:hAnsi="inherit" w:cs="Arial"/>
          <w:sz w:val="22"/>
          <w:szCs w:val="22"/>
          <w:bdr w:val="none" w:sz="0" w:space="0" w:color="auto" w:frame="1"/>
        </w:rPr>
        <w:t>, Ministro provinciale dei Frati minori della Provincia di san Francesco d’Assisi di Umbria e Sardegna, il Ten. Col. </w:t>
      </w:r>
      <w:r w:rsidRPr="006768B5">
        <w:rPr>
          <w:rFonts w:ascii="inherit" w:eastAsia="Times New Roman" w:hAnsi="inherit" w:cs="Arial"/>
          <w:b/>
          <w:bCs/>
          <w:sz w:val="22"/>
          <w:szCs w:val="22"/>
          <w:bdr w:val="none" w:sz="0" w:space="0" w:color="auto" w:frame="1"/>
        </w:rPr>
        <w:t>Guido Barbieri</w:t>
      </w:r>
      <w:r w:rsidRPr="006768B5">
        <w:rPr>
          <w:rFonts w:ascii="inherit" w:eastAsia="Times New Roman" w:hAnsi="inherit" w:cs="Arial"/>
          <w:sz w:val="22"/>
          <w:szCs w:val="22"/>
          <w:bdr w:val="none" w:sz="0" w:space="0" w:color="auto" w:frame="1"/>
        </w:rPr>
        <w:t>, Comandante del Nucleo Tutela del Patrimonio Culturale dei Carabinieri di Perugia e </w:t>
      </w:r>
      <w:r w:rsidRPr="006768B5">
        <w:rPr>
          <w:rFonts w:ascii="inherit" w:eastAsia="Times New Roman" w:hAnsi="inherit" w:cs="Arial"/>
          <w:b/>
          <w:bCs/>
          <w:sz w:val="22"/>
          <w:szCs w:val="22"/>
          <w:bdr w:val="none" w:sz="0" w:space="0" w:color="auto" w:frame="1"/>
        </w:rPr>
        <w:t>Stefano Brufani</w:t>
      </w:r>
      <w:r w:rsidRPr="006768B5">
        <w:rPr>
          <w:rFonts w:ascii="inherit" w:eastAsia="Times New Roman" w:hAnsi="inherit" w:cs="Arial"/>
          <w:sz w:val="22"/>
          <w:szCs w:val="22"/>
          <w:bdr w:val="none" w:sz="0" w:space="0" w:color="auto" w:frame="1"/>
        </w:rPr>
        <w:t>, Direttore del Dipartimento di Lettere – Lingue, letterature e Civiltà antiche e moderne</w:t>
      </w:r>
      <w:r w:rsidRPr="006768B5">
        <w:rPr>
          <w:rFonts w:ascii="inherit" w:eastAsia="Times New Roman" w:hAnsi="inherit" w:cs="Arial"/>
          <w:b/>
          <w:bCs/>
          <w:sz w:val="22"/>
          <w:szCs w:val="22"/>
          <w:bdr w:val="none" w:sz="0" w:space="0" w:color="auto" w:frame="1"/>
        </w:rPr>
        <w:t>.</w:t>
      </w:r>
    </w:p>
    <w:p w14:paraId="0DA67F55"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s="Arial"/>
          <w:sz w:val="17"/>
          <w:szCs w:val="17"/>
          <w:bdr w:val="none" w:sz="0" w:space="0" w:color="auto"/>
        </w:rPr>
      </w:pPr>
    </w:p>
    <w:p w14:paraId="476FAA6F"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s="Arial"/>
          <w:sz w:val="17"/>
          <w:szCs w:val="17"/>
          <w:bdr w:val="none" w:sz="0" w:space="0" w:color="auto"/>
        </w:rPr>
      </w:pPr>
      <w:r w:rsidRPr="006768B5">
        <w:rPr>
          <w:rFonts w:ascii="inherit" w:eastAsia="Times New Roman" w:hAnsi="inherit" w:cs="Arial"/>
          <w:sz w:val="22"/>
          <w:szCs w:val="22"/>
          <w:bdr w:val="none" w:sz="0" w:space="0" w:color="auto" w:frame="1"/>
        </w:rPr>
        <w:t>La cerimonia si è conclusa con il taglio del nastro da parte del sindaco di Assisi Stefania Proietti e la visita alle sale espositive guidata dai responsabili scientifici. </w:t>
      </w:r>
    </w:p>
    <w:p w14:paraId="21EA33E6"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s="Arial"/>
          <w:sz w:val="17"/>
          <w:szCs w:val="17"/>
          <w:bdr w:val="none" w:sz="0" w:space="0" w:color="auto"/>
        </w:rPr>
      </w:pPr>
    </w:p>
    <w:p w14:paraId="30D5D4A6"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s="Arial"/>
          <w:sz w:val="17"/>
          <w:szCs w:val="17"/>
          <w:bdr w:val="none" w:sz="0" w:space="0" w:color="auto"/>
        </w:rPr>
      </w:pPr>
    </w:p>
    <w:p w14:paraId="164BB2D5"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s="Arial"/>
          <w:sz w:val="17"/>
          <w:szCs w:val="17"/>
          <w:bdr w:val="none" w:sz="0" w:space="0" w:color="auto"/>
        </w:rPr>
      </w:pPr>
    </w:p>
    <w:p w14:paraId="711856A4"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s="Arial"/>
          <w:sz w:val="17"/>
          <w:szCs w:val="17"/>
          <w:bdr w:val="none" w:sz="0" w:space="0" w:color="auto"/>
        </w:rPr>
      </w:pPr>
      <w:r w:rsidRPr="006768B5">
        <w:rPr>
          <w:rFonts w:ascii="inherit" w:eastAsia="Times New Roman" w:hAnsi="inherit" w:cs="Arial"/>
          <w:b/>
          <w:bCs/>
          <w:bdr w:val="none" w:sz="0" w:space="0" w:color="auto" w:frame="1"/>
        </w:rPr>
        <w:t>Il percorso espositivo</w:t>
      </w:r>
    </w:p>
    <w:p w14:paraId="4DC0B36F"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s="Arial"/>
          <w:sz w:val="17"/>
          <w:szCs w:val="17"/>
          <w:bdr w:val="none" w:sz="0" w:space="0" w:color="auto"/>
        </w:rPr>
      </w:pPr>
      <w:r w:rsidRPr="006768B5">
        <w:rPr>
          <w:rFonts w:ascii="inherit" w:eastAsia="Times New Roman" w:hAnsi="inherit" w:cs="Arial"/>
          <w:sz w:val="22"/>
          <w:szCs w:val="22"/>
          <w:bdr w:val="none" w:sz="0" w:space="0" w:color="auto" w:frame="1"/>
        </w:rPr>
        <w:t>“</w:t>
      </w:r>
      <w:proofErr w:type="spellStart"/>
      <w:r w:rsidRPr="006768B5">
        <w:rPr>
          <w:rFonts w:ascii="inherit" w:eastAsia="Times New Roman" w:hAnsi="inherit" w:cs="Arial"/>
          <w:sz w:val="22"/>
          <w:szCs w:val="22"/>
          <w:bdr w:val="none" w:sz="0" w:space="0" w:color="auto" w:frame="1"/>
        </w:rPr>
        <w:t>Madaba</w:t>
      </w:r>
      <w:proofErr w:type="spellEnd"/>
      <w:r w:rsidRPr="006768B5">
        <w:rPr>
          <w:rFonts w:ascii="inherit" w:eastAsia="Times New Roman" w:hAnsi="inherit" w:cs="Arial"/>
          <w:sz w:val="22"/>
          <w:szCs w:val="22"/>
          <w:bdr w:val="none" w:sz="0" w:space="0" w:color="auto" w:frame="1"/>
        </w:rPr>
        <w:t>, la città dei mosaici” ripercorre attraverso </w:t>
      </w:r>
      <w:r w:rsidRPr="006768B5">
        <w:rPr>
          <w:rFonts w:ascii="inherit" w:eastAsia="Times New Roman" w:hAnsi="inherit" w:cs="Arial"/>
          <w:b/>
          <w:bCs/>
          <w:sz w:val="22"/>
          <w:szCs w:val="22"/>
          <w:bdr w:val="none" w:sz="0" w:space="0" w:color="auto" w:frame="1"/>
        </w:rPr>
        <w:t>sette sale </w:t>
      </w:r>
      <w:r w:rsidRPr="006768B5">
        <w:rPr>
          <w:rFonts w:ascii="inherit" w:eastAsia="Times New Roman" w:hAnsi="inherit" w:cs="Arial"/>
          <w:sz w:val="22"/>
          <w:szCs w:val="22"/>
          <w:bdr w:val="none" w:sz="0" w:space="0" w:color="auto" w:frame="1"/>
        </w:rPr>
        <w:t>la storia e la bellezza dei Beni Culturali della città giordana. </w:t>
      </w:r>
    </w:p>
    <w:p w14:paraId="74B08BDA"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s="Arial"/>
          <w:sz w:val="17"/>
          <w:szCs w:val="17"/>
          <w:bdr w:val="none" w:sz="0" w:space="0" w:color="auto"/>
        </w:rPr>
      </w:pPr>
      <w:r w:rsidRPr="006768B5">
        <w:rPr>
          <w:rFonts w:ascii="inherit" w:eastAsia="Times New Roman" w:hAnsi="inherit" w:cs="Arial"/>
          <w:sz w:val="22"/>
          <w:szCs w:val="22"/>
          <w:bdr w:val="none" w:sz="0" w:space="0" w:color="auto" w:frame="1"/>
        </w:rPr>
        <w:t>Al piano terra, nella prima sala, l’esposizione approfondisce in primo luogo </w:t>
      </w:r>
      <w:r w:rsidRPr="006768B5">
        <w:rPr>
          <w:rFonts w:ascii="inherit" w:eastAsia="Times New Roman" w:hAnsi="inherit" w:cs="Arial"/>
          <w:b/>
          <w:bCs/>
          <w:sz w:val="22"/>
          <w:szCs w:val="22"/>
          <w:bdr w:val="none" w:sz="0" w:space="0" w:color="auto" w:frame="1"/>
        </w:rPr>
        <w:t>il progetto</w:t>
      </w:r>
      <w:r w:rsidRPr="006768B5">
        <w:rPr>
          <w:rFonts w:ascii="inherit" w:eastAsia="Times New Roman" w:hAnsi="inherit" w:cs="Arial"/>
          <w:sz w:val="22"/>
          <w:szCs w:val="22"/>
          <w:bdr w:val="none" w:sz="0" w:space="0" w:color="auto" w:frame="1"/>
        </w:rPr>
        <w:t> finanziato dall’AICS e implementato dall’Università degli Studi di Perugia, per poi proseguire con pannelli che raccontano </w:t>
      </w:r>
      <w:r w:rsidRPr="006768B5">
        <w:rPr>
          <w:rFonts w:ascii="inherit" w:eastAsia="Times New Roman" w:hAnsi="inherit" w:cs="Arial"/>
          <w:b/>
          <w:bCs/>
          <w:sz w:val="22"/>
          <w:szCs w:val="22"/>
          <w:bdr w:val="none" w:sz="0" w:space="0" w:color="auto" w:frame="1"/>
        </w:rPr>
        <w:t>le fasi storiche più antiche</w:t>
      </w:r>
      <w:r w:rsidRPr="006768B5">
        <w:rPr>
          <w:rFonts w:ascii="inherit" w:eastAsia="Times New Roman" w:hAnsi="inherit" w:cs="Arial"/>
          <w:sz w:val="22"/>
          <w:szCs w:val="22"/>
          <w:bdr w:val="none" w:sz="0" w:space="0" w:color="auto" w:frame="1"/>
        </w:rPr>
        <w:t> della città. </w:t>
      </w:r>
    </w:p>
    <w:p w14:paraId="33F224EE"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s="Arial"/>
          <w:sz w:val="17"/>
          <w:szCs w:val="17"/>
          <w:bdr w:val="none" w:sz="0" w:space="0" w:color="auto"/>
        </w:rPr>
      </w:pPr>
      <w:r w:rsidRPr="006768B5">
        <w:rPr>
          <w:rFonts w:ascii="inherit" w:eastAsia="Times New Roman" w:hAnsi="inherit" w:cs="Arial"/>
          <w:sz w:val="22"/>
          <w:szCs w:val="22"/>
          <w:bdr w:val="none" w:sz="0" w:space="0" w:color="auto" w:frame="1"/>
        </w:rPr>
        <w:t>Apre l’esposizione vera e proprio la </w:t>
      </w:r>
      <w:r w:rsidRPr="006768B5">
        <w:rPr>
          <w:rFonts w:ascii="inherit" w:eastAsia="Times New Roman" w:hAnsi="inherit" w:cs="Arial"/>
          <w:b/>
          <w:bCs/>
          <w:sz w:val="22"/>
          <w:szCs w:val="22"/>
          <w:bdr w:val="none" w:sz="0" w:space="0" w:color="auto" w:frame="1"/>
        </w:rPr>
        <w:t>Sala Romana</w:t>
      </w:r>
      <w:r w:rsidRPr="006768B5">
        <w:rPr>
          <w:rFonts w:ascii="inherit" w:eastAsia="Times New Roman" w:hAnsi="inherit" w:cs="Arial"/>
          <w:sz w:val="22"/>
          <w:szCs w:val="22"/>
          <w:bdr w:val="none" w:sz="0" w:space="0" w:color="auto" w:frame="1"/>
        </w:rPr>
        <w:t xml:space="preserve">, dove, attraverso la tecnologia della stampa 3D, sono state riprodotti fedelmente i busti di quattro personaggi reali importanti per la storia della Giordania e delle province d’Oriente: Traiano, Adriano, Settimio Severo e sua moglie, Julia </w:t>
      </w:r>
      <w:proofErr w:type="spellStart"/>
      <w:r w:rsidRPr="006768B5">
        <w:rPr>
          <w:rFonts w:ascii="inherit" w:eastAsia="Times New Roman" w:hAnsi="inherit" w:cs="Arial"/>
          <w:sz w:val="22"/>
          <w:szCs w:val="22"/>
          <w:bdr w:val="none" w:sz="0" w:space="0" w:color="auto" w:frame="1"/>
        </w:rPr>
        <w:t>Domna</w:t>
      </w:r>
      <w:proofErr w:type="spellEnd"/>
      <w:r w:rsidRPr="006768B5">
        <w:rPr>
          <w:rFonts w:ascii="inherit" w:eastAsia="Times New Roman" w:hAnsi="inherit" w:cs="Arial"/>
          <w:sz w:val="22"/>
          <w:szCs w:val="22"/>
          <w:bdr w:val="none" w:sz="0" w:space="0" w:color="auto" w:frame="1"/>
        </w:rPr>
        <w:t>. </w:t>
      </w:r>
    </w:p>
    <w:p w14:paraId="6B7F8651"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s="Arial"/>
          <w:sz w:val="17"/>
          <w:szCs w:val="17"/>
          <w:bdr w:val="none" w:sz="0" w:space="0" w:color="auto"/>
        </w:rPr>
      </w:pPr>
      <w:r w:rsidRPr="006768B5">
        <w:rPr>
          <w:rFonts w:ascii="inherit" w:eastAsia="Times New Roman" w:hAnsi="inherit" w:cs="Arial"/>
          <w:sz w:val="22"/>
          <w:szCs w:val="22"/>
          <w:bdr w:val="none" w:sz="0" w:space="0" w:color="auto" w:frame="1"/>
        </w:rPr>
        <w:t>Il piano inferiore è dedicato alla </w:t>
      </w:r>
      <w:r w:rsidRPr="006768B5">
        <w:rPr>
          <w:rFonts w:ascii="inherit" w:eastAsia="Times New Roman" w:hAnsi="inherit" w:cs="Arial"/>
          <w:b/>
          <w:bCs/>
          <w:sz w:val="22"/>
          <w:szCs w:val="22"/>
          <w:bdr w:val="none" w:sz="0" w:space="0" w:color="auto" w:frame="1"/>
        </w:rPr>
        <w:t>riproduzione del Palazzo Bruciato</w:t>
      </w:r>
      <w:r w:rsidRPr="006768B5">
        <w:rPr>
          <w:rFonts w:ascii="inherit" w:eastAsia="Times New Roman" w:hAnsi="inherit" w:cs="Arial"/>
          <w:sz w:val="22"/>
          <w:szCs w:val="22"/>
          <w:bdr w:val="none" w:sz="0" w:space="0" w:color="auto" w:frame="1"/>
        </w:rPr>
        <w:t xml:space="preserve">, una ricca dimora patrizia con </w:t>
      </w:r>
      <w:proofErr w:type="gramStart"/>
      <w:r w:rsidRPr="006768B5">
        <w:rPr>
          <w:rFonts w:ascii="inherit" w:eastAsia="Times New Roman" w:hAnsi="inherit" w:cs="Arial"/>
          <w:sz w:val="22"/>
          <w:szCs w:val="22"/>
          <w:bdr w:val="none" w:sz="0" w:space="0" w:color="auto" w:frame="1"/>
        </w:rPr>
        <w:t>particolare pavimentazioni musive</w:t>
      </w:r>
      <w:proofErr w:type="gramEnd"/>
      <w:r w:rsidRPr="006768B5">
        <w:rPr>
          <w:rFonts w:ascii="inherit" w:eastAsia="Times New Roman" w:hAnsi="inherit" w:cs="Arial"/>
          <w:sz w:val="22"/>
          <w:szCs w:val="22"/>
          <w:bdr w:val="none" w:sz="0" w:space="0" w:color="auto" w:frame="1"/>
        </w:rPr>
        <w:t xml:space="preserve"> di contesto domestico, fra le quali il motivo, antichissimo nel contesto culturale del Vicino Oriente antico, del Toro e del Leone. L’ala occidentale del palazzo è riprodotta attraverso semplici e lineari elementi architettonici che, insieme alla </w:t>
      </w:r>
      <w:r w:rsidRPr="006768B5">
        <w:rPr>
          <w:rFonts w:ascii="inherit" w:eastAsia="Times New Roman" w:hAnsi="inherit" w:cs="Arial"/>
          <w:b/>
          <w:bCs/>
          <w:sz w:val="22"/>
          <w:szCs w:val="22"/>
          <w:bdr w:val="none" w:sz="0" w:space="0" w:color="auto" w:frame="1"/>
        </w:rPr>
        <w:t>riproduzione fedele scala 1:1 </w:t>
      </w:r>
      <w:r w:rsidRPr="006768B5">
        <w:rPr>
          <w:rFonts w:ascii="inherit" w:eastAsia="Times New Roman" w:hAnsi="inherit" w:cs="Arial"/>
          <w:sz w:val="22"/>
          <w:szCs w:val="22"/>
          <w:bdr w:val="none" w:sz="0" w:space="0" w:color="auto" w:frame="1"/>
        </w:rPr>
        <w:t>del </w:t>
      </w:r>
      <w:r w:rsidRPr="006768B5">
        <w:rPr>
          <w:rFonts w:ascii="inherit" w:eastAsia="Times New Roman" w:hAnsi="inherit" w:cs="Arial"/>
          <w:b/>
          <w:bCs/>
          <w:sz w:val="22"/>
          <w:szCs w:val="22"/>
          <w:bdr w:val="none" w:sz="0" w:space="0" w:color="auto" w:frame="1"/>
        </w:rPr>
        <w:t>mosaico a terra</w:t>
      </w:r>
      <w:r w:rsidRPr="006768B5">
        <w:rPr>
          <w:rFonts w:ascii="inherit" w:eastAsia="Times New Roman" w:hAnsi="inherit" w:cs="Arial"/>
          <w:sz w:val="22"/>
          <w:szCs w:val="22"/>
          <w:bdr w:val="none" w:sz="0" w:space="0" w:color="auto" w:frame="1"/>
        </w:rPr>
        <w:t>, danno la sensazione dello spazio per concepire un </w:t>
      </w:r>
      <w:r w:rsidRPr="006768B5">
        <w:rPr>
          <w:rFonts w:ascii="inherit" w:eastAsia="Times New Roman" w:hAnsi="inherit" w:cs="Arial"/>
          <w:b/>
          <w:bCs/>
          <w:sz w:val="22"/>
          <w:szCs w:val="22"/>
          <w:bdr w:val="none" w:sz="0" w:space="0" w:color="auto" w:frame="1"/>
        </w:rPr>
        <w:t>percorso immersivo ed esperienziale</w:t>
      </w:r>
      <w:r w:rsidRPr="006768B5">
        <w:rPr>
          <w:rFonts w:ascii="inherit" w:eastAsia="Times New Roman" w:hAnsi="inherit" w:cs="Arial"/>
          <w:sz w:val="22"/>
          <w:szCs w:val="22"/>
          <w:bdr w:val="none" w:sz="0" w:space="0" w:color="auto" w:frame="1"/>
        </w:rPr>
        <w:t> che inizia con il suono del crepitio del fuoco, che dette alle fiamme nel VII sec d.C. l’intera struttura. </w:t>
      </w:r>
    </w:p>
    <w:p w14:paraId="1650B2B0"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s="Arial"/>
          <w:sz w:val="17"/>
          <w:szCs w:val="17"/>
          <w:bdr w:val="none" w:sz="0" w:space="0" w:color="auto"/>
        </w:rPr>
      </w:pPr>
      <w:r w:rsidRPr="006768B5">
        <w:rPr>
          <w:rFonts w:ascii="inherit" w:eastAsia="Times New Roman" w:hAnsi="inherit" w:cs="Arial"/>
          <w:sz w:val="22"/>
          <w:szCs w:val="22"/>
          <w:bdr w:val="none" w:sz="0" w:space="0" w:color="auto" w:frame="1"/>
        </w:rPr>
        <w:t>Nelle seguenti due </w:t>
      </w:r>
      <w:r w:rsidRPr="006768B5">
        <w:rPr>
          <w:rFonts w:ascii="inherit" w:eastAsia="Times New Roman" w:hAnsi="inherit" w:cs="Arial"/>
          <w:b/>
          <w:bCs/>
          <w:sz w:val="22"/>
          <w:szCs w:val="22"/>
          <w:bdr w:val="none" w:sz="0" w:space="0" w:color="auto" w:frame="1"/>
        </w:rPr>
        <w:t xml:space="preserve">Sale di </w:t>
      </w:r>
      <w:proofErr w:type="spellStart"/>
      <w:r w:rsidRPr="006768B5">
        <w:rPr>
          <w:rFonts w:ascii="inherit" w:eastAsia="Times New Roman" w:hAnsi="inherit" w:cs="Arial"/>
          <w:b/>
          <w:bCs/>
          <w:sz w:val="22"/>
          <w:szCs w:val="22"/>
          <w:bdr w:val="none" w:sz="0" w:space="0" w:color="auto" w:frame="1"/>
        </w:rPr>
        <w:t>Lot</w:t>
      </w:r>
      <w:proofErr w:type="spellEnd"/>
      <w:r w:rsidRPr="006768B5">
        <w:rPr>
          <w:rFonts w:ascii="inherit" w:eastAsia="Times New Roman" w:hAnsi="inherit" w:cs="Arial"/>
          <w:b/>
          <w:bCs/>
          <w:sz w:val="22"/>
          <w:szCs w:val="22"/>
          <w:bdr w:val="none" w:sz="0" w:space="0" w:color="auto" w:frame="1"/>
        </w:rPr>
        <w:t xml:space="preserve"> e Procopio </w:t>
      </w:r>
      <w:r w:rsidRPr="006768B5">
        <w:rPr>
          <w:rFonts w:ascii="inherit" w:eastAsia="Times New Roman" w:hAnsi="inherit" w:cs="Arial"/>
          <w:sz w:val="22"/>
          <w:szCs w:val="22"/>
          <w:bdr w:val="none" w:sz="0" w:space="0" w:color="auto" w:frame="1"/>
        </w:rPr>
        <w:t>e della</w:t>
      </w:r>
      <w:r w:rsidRPr="006768B5">
        <w:rPr>
          <w:rFonts w:ascii="inherit" w:eastAsia="Times New Roman" w:hAnsi="inherit" w:cs="Arial"/>
          <w:b/>
          <w:bCs/>
          <w:sz w:val="22"/>
          <w:szCs w:val="22"/>
          <w:bdr w:val="none" w:sz="0" w:space="0" w:color="auto" w:frame="1"/>
        </w:rPr>
        <w:t xml:space="preserve"> Cappella della </w:t>
      </w:r>
      <w:proofErr w:type="spellStart"/>
      <w:r w:rsidRPr="006768B5">
        <w:rPr>
          <w:rFonts w:ascii="inherit" w:eastAsia="Times New Roman" w:hAnsi="inherit" w:cs="Arial"/>
          <w:b/>
          <w:bCs/>
          <w:sz w:val="22"/>
          <w:szCs w:val="22"/>
          <w:bdr w:val="none" w:sz="0" w:space="0" w:color="auto" w:frame="1"/>
        </w:rPr>
        <w:t>Teotokos</w:t>
      </w:r>
      <w:proofErr w:type="spellEnd"/>
      <w:r w:rsidRPr="006768B5">
        <w:rPr>
          <w:rFonts w:ascii="inherit" w:eastAsia="Times New Roman" w:hAnsi="inherit" w:cs="Arial"/>
          <w:b/>
          <w:bCs/>
          <w:sz w:val="22"/>
          <w:szCs w:val="22"/>
          <w:bdr w:val="none" w:sz="0" w:space="0" w:color="auto" w:frame="1"/>
        </w:rPr>
        <w:t xml:space="preserve"> sul Monte </w:t>
      </w:r>
      <w:proofErr w:type="spellStart"/>
      <w:r w:rsidRPr="006768B5">
        <w:rPr>
          <w:rFonts w:ascii="inherit" w:eastAsia="Times New Roman" w:hAnsi="inherit" w:cs="Arial"/>
          <w:b/>
          <w:bCs/>
          <w:sz w:val="22"/>
          <w:szCs w:val="22"/>
          <w:bdr w:val="none" w:sz="0" w:space="0" w:color="auto" w:frame="1"/>
        </w:rPr>
        <w:t>Nebo</w:t>
      </w:r>
      <w:proofErr w:type="spellEnd"/>
      <w:r w:rsidRPr="006768B5">
        <w:rPr>
          <w:rFonts w:ascii="inherit" w:eastAsia="Times New Roman" w:hAnsi="inherit" w:cs="Arial"/>
          <w:sz w:val="22"/>
          <w:szCs w:val="22"/>
          <w:bdr w:val="none" w:sz="0" w:space="0" w:color="auto" w:frame="1"/>
        </w:rPr>
        <w:t> questo obiettivo immersivo viene ulteriormente rafforzato con le </w:t>
      </w:r>
      <w:r w:rsidRPr="006768B5">
        <w:rPr>
          <w:rFonts w:ascii="inherit" w:eastAsia="Times New Roman" w:hAnsi="inherit" w:cs="Arial"/>
          <w:b/>
          <w:bCs/>
          <w:sz w:val="22"/>
          <w:szCs w:val="22"/>
          <w:bdr w:val="none" w:sz="0" w:space="0" w:color="auto" w:frame="1"/>
        </w:rPr>
        <w:t>luci soffuse tipiche delle chiese medievali, musica e incenso</w:t>
      </w:r>
      <w:r w:rsidRPr="006768B5">
        <w:rPr>
          <w:rFonts w:ascii="inherit" w:eastAsia="Times New Roman" w:hAnsi="inherit" w:cs="Arial"/>
          <w:sz w:val="22"/>
          <w:szCs w:val="22"/>
          <w:bdr w:val="none" w:sz="0" w:space="0" w:color="auto" w:frame="1"/>
        </w:rPr>
        <w:t>, che puntano a trasmettere al visitatore l’emozione dello spazio sacro. Queste tecniche vengono accompagnate dalla ricostruzione, sempre con la tecnologia della stampa 3D e un’accurata post-produzione artigianale, da</w:t>
      </w:r>
      <w:r w:rsidRPr="006768B5">
        <w:rPr>
          <w:rFonts w:ascii="inherit" w:eastAsia="Times New Roman" w:hAnsi="inherit" w:cs="Arial"/>
          <w:b/>
          <w:bCs/>
          <w:sz w:val="22"/>
          <w:szCs w:val="22"/>
          <w:bdr w:val="none" w:sz="0" w:space="0" w:color="auto" w:frame="1"/>
        </w:rPr>
        <w:t> repliche di singoli elementi architettonici</w:t>
      </w:r>
      <w:r w:rsidRPr="006768B5">
        <w:rPr>
          <w:rFonts w:ascii="inherit" w:eastAsia="Times New Roman" w:hAnsi="inherit" w:cs="Arial"/>
          <w:sz w:val="22"/>
          <w:szCs w:val="22"/>
          <w:bdr w:val="none" w:sz="0" w:space="0" w:color="auto" w:frame="1"/>
        </w:rPr>
        <w:t> tipici delle strutture religiose di epoca bizantina, come un capitello e un pluteo, elemento di separazione dello spazio liturgico, in scala 1:1.</w:t>
      </w:r>
    </w:p>
    <w:p w14:paraId="30E3B4B9"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s="Arial"/>
          <w:sz w:val="17"/>
          <w:szCs w:val="17"/>
          <w:bdr w:val="none" w:sz="0" w:space="0" w:color="auto"/>
        </w:rPr>
      </w:pPr>
      <w:r w:rsidRPr="006768B5">
        <w:rPr>
          <w:rFonts w:ascii="inherit" w:eastAsia="Times New Roman" w:hAnsi="inherit" w:cs="Arial"/>
          <w:sz w:val="22"/>
          <w:szCs w:val="22"/>
          <w:bdr w:val="none" w:sz="0" w:space="0" w:color="auto" w:frame="1"/>
        </w:rPr>
        <w:t>Chiudono la mostra due sale, dedicate all’impegno della </w:t>
      </w:r>
      <w:r w:rsidRPr="006768B5">
        <w:rPr>
          <w:rFonts w:ascii="inherit" w:eastAsia="Times New Roman" w:hAnsi="inherit" w:cs="Arial"/>
          <w:b/>
          <w:bCs/>
          <w:sz w:val="22"/>
          <w:szCs w:val="22"/>
          <w:bdr w:val="none" w:sz="0" w:space="0" w:color="auto" w:frame="1"/>
        </w:rPr>
        <w:t>Custodia della Terra Santa </w:t>
      </w:r>
      <w:r w:rsidRPr="006768B5">
        <w:rPr>
          <w:rFonts w:ascii="inherit" w:eastAsia="Times New Roman" w:hAnsi="inherit" w:cs="Arial"/>
          <w:sz w:val="22"/>
          <w:szCs w:val="22"/>
          <w:bdr w:val="none" w:sz="0" w:space="0" w:color="auto" w:frame="1"/>
        </w:rPr>
        <w:t>e dello</w:t>
      </w:r>
      <w:r w:rsidRPr="006768B5">
        <w:rPr>
          <w:rFonts w:ascii="inherit" w:eastAsia="Times New Roman" w:hAnsi="inherit" w:cs="Arial"/>
          <w:b/>
          <w:bCs/>
          <w:sz w:val="22"/>
          <w:szCs w:val="22"/>
          <w:bdr w:val="none" w:sz="0" w:space="0" w:color="auto" w:frame="1"/>
        </w:rPr>
        <w:t> </w:t>
      </w:r>
      <w:proofErr w:type="spellStart"/>
      <w:r w:rsidRPr="006768B5">
        <w:rPr>
          <w:rFonts w:ascii="inherit" w:eastAsia="Times New Roman" w:hAnsi="inherit" w:cs="Arial"/>
          <w:b/>
          <w:bCs/>
          <w:sz w:val="22"/>
          <w:szCs w:val="22"/>
          <w:bdr w:val="none" w:sz="0" w:space="0" w:color="auto" w:frame="1"/>
        </w:rPr>
        <w:t>Studium</w:t>
      </w:r>
      <w:proofErr w:type="spellEnd"/>
      <w:r w:rsidRPr="006768B5">
        <w:rPr>
          <w:rFonts w:ascii="inherit" w:eastAsia="Times New Roman" w:hAnsi="inherit" w:cs="Arial"/>
          <w:b/>
          <w:bCs/>
          <w:sz w:val="22"/>
          <w:szCs w:val="22"/>
          <w:bdr w:val="none" w:sz="0" w:space="0" w:color="auto" w:frame="1"/>
        </w:rPr>
        <w:t xml:space="preserve"> </w:t>
      </w:r>
      <w:proofErr w:type="spellStart"/>
      <w:r w:rsidRPr="006768B5">
        <w:rPr>
          <w:rFonts w:ascii="inherit" w:eastAsia="Times New Roman" w:hAnsi="inherit" w:cs="Arial"/>
          <w:b/>
          <w:bCs/>
          <w:sz w:val="22"/>
          <w:szCs w:val="22"/>
          <w:bdr w:val="none" w:sz="0" w:space="0" w:color="auto" w:frame="1"/>
        </w:rPr>
        <w:t>Biblicum</w:t>
      </w:r>
      <w:proofErr w:type="spellEnd"/>
      <w:r w:rsidRPr="006768B5">
        <w:rPr>
          <w:rFonts w:ascii="inherit" w:eastAsia="Times New Roman" w:hAnsi="inherit" w:cs="Arial"/>
          <w:b/>
          <w:bCs/>
          <w:sz w:val="22"/>
          <w:szCs w:val="22"/>
          <w:bdr w:val="none" w:sz="0" w:space="0" w:color="auto" w:frame="1"/>
        </w:rPr>
        <w:t xml:space="preserve"> </w:t>
      </w:r>
      <w:proofErr w:type="spellStart"/>
      <w:r w:rsidRPr="006768B5">
        <w:rPr>
          <w:rFonts w:ascii="inherit" w:eastAsia="Times New Roman" w:hAnsi="inherit" w:cs="Arial"/>
          <w:b/>
          <w:bCs/>
          <w:sz w:val="22"/>
          <w:szCs w:val="22"/>
          <w:bdr w:val="none" w:sz="0" w:space="0" w:color="auto" w:frame="1"/>
        </w:rPr>
        <w:t>Franciscanum</w:t>
      </w:r>
      <w:proofErr w:type="spellEnd"/>
      <w:r w:rsidRPr="006768B5">
        <w:rPr>
          <w:rFonts w:ascii="inherit" w:eastAsia="Times New Roman" w:hAnsi="inherit" w:cs="Arial"/>
          <w:sz w:val="22"/>
          <w:szCs w:val="22"/>
          <w:bdr w:val="none" w:sz="0" w:space="0" w:color="auto" w:frame="1"/>
        </w:rPr>
        <w:t xml:space="preserve"> nella scoperta e protezione dei beni culturali di </w:t>
      </w:r>
      <w:proofErr w:type="spellStart"/>
      <w:r w:rsidRPr="006768B5">
        <w:rPr>
          <w:rFonts w:ascii="inherit" w:eastAsia="Times New Roman" w:hAnsi="inherit" w:cs="Arial"/>
          <w:sz w:val="22"/>
          <w:szCs w:val="22"/>
          <w:bdr w:val="none" w:sz="0" w:space="0" w:color="auto" w:frame="1"/>
        </w:rPr>
        <w:t>Madaba</w:t>
      </w:r>
      <w:proofErr w:type="spellEnd"/>
      <w:r w:rsidRPr="006768B5">
        <w:rPr>
          <w:rFonts w:ascii="inherit" w:eastAsia="Times New Roman" w:hAnsi="inherit" w:cs="Arial"/>
          <w:sz w:val="22"/>
          <w:szCs w:val="22"/>
          <w:bdr w:val="none" w:sz="0" w:space="0" w:color="auto" w:frame="1"/>
        </w:rPr>
        <w:t xml:space="preserve"> e dell’adiacente Monte </w:t>
      </w:r>
      <w:proofErr w:type="spellStart"/>
      <w:r w:rsidRPr="006768B5">
        <w:rPr>
          <w:rFonts w:ascii="inherit" w:eastAsia="Times New Roman" w:hAnsi="inherit" w:cs="Arial"/>
          <w:sz w:val="22"/>
          <w:szCs w:val="22"/>
          <w:bdr w:val="none" w:sz="0" w:space="0" w:color="auto" w:frame="1"/>
        </w:rPr>
        <w:t>Nebo</w:t>
      </w:r>
      <w:proofErr w:type="spellEnd"/>
      <w:r w:rsidRPr="006768B5">
        <w:rPr>
          <w:rFonts w:ascii="inherit" w:eastAsia="Times New Roman" w:hAnsi="inherit" w:cs="Arial"/>
          <w:sz w:val="22"/>
          <w:szCs w:val="22"/>
          <w:bdr w:val="none" w:sz="0" w:space="0" w:color="auto" w:frame="1"/>
        </w:rPr>
        <w:t>, dove i loro archeologici e restauratori hanno riportato alla luce il Memoriale di Mosè, con la </w:t>
      </w:r>
      <w:r w:rsidRPr="006768B5">
        <w:rPr>
          <w:rFonts w:ascii="inherit" w:eastAsia="Times New Roman" w:hAnsi="inherit" w:cs="Arial"/>
          <w:b/>
          <w:bCs/>
          <w:sz w:val="22"/>
          <w:szCs w:val="22"/>
          <w:bdr w:val="none" w:sz="0" w:space="0" w:color="auto" w:frame="1"/>
        </w:rPr>
        <w:t>Basilica bizantina </w:t>
      </w:r>
      <w:r w:rsidRPr="006768B5">
        <w:rPr>
          <w:rFonts w:ascii="inherit" w:eastAsia="Times New Roman" w:hAnsi="inherit" w:cs="Arial"/>
          <w:sz w:val="22"/>
          <w:szCs w:val="22"/>
          <w:bdr w:val="none" w:sz="0" w:space="0" w:color="auto" w:frame="1"/>
        </w:rPr>
        <w:t>dei quali nella mostra vengono presentati </w:t>
      </w:r>
      <w:r w:rsidRPr="006768B5">
        <w:rPr>
          <w:rFonts w:ascii="inherit" w:eastAsia="Times New Roman" w:hAnsi="inherit" w:cs="Arial"/>
          <w:b/>
          <w:bCs/>
          <w:sz w:val="22"/>
          <w:szCs w:val="22"/>
          <w:bdr w:val="none" w:sz="0" w:space="0" w:color="auto" w:frame="1"/>
        </w:rPr>
        <w:t>alcuni degli splendidi mosaici.</w:t>
      </w:r>
    </w:p>
    <w:p w14:paraId="2A98EC2F"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s="Arial"/>
          <w:sz w:val="17"/>
          <w:szCs w:val="17"/>
          <w:bdr w:val="none" w:sz="0" w:space="0" w:color="auto"/>
        </w:rPr>
      </w:pPr>
    </w:p>
    <w:p w14:paraId="47A98BC9"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s="Arial"/>
          <w:sz w:val="17"/>
          <w:szCs w:val="17"/>
          <w:bdr w:val="none" w:sz="0" w:space="0" w:color="auto"/>
        </w:rPr>
      </w:pPr>
    </w:p>
    <w:p w14:paraId="4E646726"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s="Arial"/>
          <w:sz w:val="17"/>
          <w:szCs w:val="17"/>
          <w:bdr w:val="none" w:sz="0" w:space="0" w:color="auto"/>
        </w:rPr>
      </w:pPr>
    </w:p>
    <w:p w14:paraId="7CD6016E" w14:textId="77777777" w:rsidR="006768B5" w:rsidRPr="006768B5" w:rsidRDefault="006768B5" w:rsidP="006768B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s="Arial"/>
          <w:sz w:val="17"/>
          <w:szCs w:val="17"/>
          <w:bdr w:val="none" w:sz="0" w:space="0" w:color="auto"/>
        </w:rPr>
      </w:pPr>
      <w:r w:rsidRPr="006768B5">
        <w:rPr>
          <w:rFonts w:ascii="inherit" w:eastAsia="Times New Roman" w:hAnsi="inherit" w:cs="Arial"/>
          <w:b/>
          <w:bCs/>
          <w:sz w:val="22"/>
          <w:szCs w:val="22"/>
          <w:bdr w:val="none" w:sz="0" w:space="0" w:color="auto" w:frame="1"/>
        </w:rPr>
        <w:t>Perugia, 18 giugno 2021</w:t>
      </w:r>
    </w:p>
    <w:p w14:paraId="04915083" w14:textId="3C648A98" w:rsidR="00AB5209" w:rsidRPr="006768B5" w:rsidRDefault="00AB5209" w:rsidP="006768B5">
      <w:bookmarkStart w:id="0" w:name="_GoBack"/>
      <w:bookmarkEnd w:id="0"/>
    </w:p>
    <w:sectPr w:rsidR="00AB5209" w:rsidRPr="006768B5">
      <w:headerReference w:type="default" r:id="rId6"/>
      <w:footerReference w:type="default" r:id="rId7"/>
      <w:pgSz w:w="11900" w:h="16840"/>
      <w:pgMar w:top="3119" w:right="1134" w:bottom="1701"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CFFC15" w14:textId="77777777" w:rsidR="00A6321F" w:rsidRDefault="00A6321F">
      <w:r>
        <w:separator/>
      </w:r>
    </w:p>
  </w:endnote>
  <w:endnote w:type="continuationSeparator" w:id="0">
    <w:p w14:paraId="0AD3AFC3" w14:textId="77777777" w:rsidR="00A6321F" w:rsidRDefault="00A63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EA9BF" w14:textId="77777777" w:rsidR="00AB5209" w:rsidRDefault="000C581D">
    <w:pPr>
      <w:pStyle w:val="Pidipagina"/>
      <w:tabs>
        <w:tab w:val="clear" w:pos="4819"/>
        <w:tab w:val="clear" w:pos="9638"/>
        <w:tab w:val="left" w:pos="367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FE37D1" w14:textId="77777777" w:rsidR="00A6321F" w:rsidRDefault="00A6321F">
      <w:r>
        <w:separator/>
      </w:r>
    </w:p>
  </w:footnote>
  <w:footnote w:type="continuationSeparator" w:id="0">
    <w:p w14:paraId="2285272C" w14:textId="77777777" w:rsidR="00A6321F" w:rsidRDefault="00A632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18761" w14:textId="77777777" w:rsidR="00AB5209" w:rsidRDefault="000C581D">
    <w:pPr>
      <w:pStyle w:val="Intestazione"/>
      <w:tabs>
        <w:tab w:val="clear" w:pos="9638"/>
        <w:tab w:val="right" w:pos="9612"/>
      </w:tabs>
    </w:pPr>
    <w:r>
      <w:rPr>
        <w:noProof/>
      </w:rPr>
      <w:drawing>
        <wp:anchor distT="152400" distB="152400" distL="152400" distR="152400" simplePos="0" relativeHeight="251658240" behindDoc="1" locked="0" layoutInCell="1" allowOverlap="1" wp14:anchorId="0948921F" wp14:editId="401A594C">
          <wp:simplePos x="0" y="0"/>
          <wp:positionH relativeFrom="page">
            <wp:posOffset>-1269</wp:posOffset>
          </wp:positionH>
          <wp:positionV relativeFrom="page">
            <wp:posOffset>3175</wp:posOffset>
          </wp:positionV>
          <wp:extent cx="7562216" cy="10692131"/>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jpeg"/>
                  <pic:cNvPicPr>
                    <a:picLocks noChangeAspect="1"/>
                  </pic:cNvPicPr>
                </pic:nvPicPr>
                <pic:blipFill>
                  <a:blip r:embed="rId1">
                    <a:extLst/>
                  </a:blip>
                  <a:stretch>
                    <a:fillRect/>
                  </a:stretch>
                </pic:blipFill>
                <pic:spPr>
                  <a:xfrm>
                    <a:off x="0" y="0"/>
                    <a:ext cx="7562216" cy="10692131"/>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59264" behindDoc="1" locked="0" layoutInCell="1" allowOverlap="1" wp14:anchorId="4DE08EA0" wp14:editId="3ACC7E0C">
              <wp:simplePos x="0" y="0"/>
              <wp:positionH relativeFrom="page">
                <wp:posOffset>1802765</wp:posOffset>
              </wp:positionH>
              <wp:positionV relativeFrom="page">
                <wp:posOffset>10031730</wp:posOffset>
              </wp:positionV>
              <wp:extent cx="1371600" cy="633095"/>
              <wp:effectExtent l="0" t="0" r="0" b="0"/>
              <wp:wrapNone/>
              <wp:docPr id="1073741826" name="officeArt object"/>
              <wp:cNvGraphicFramePr/>
              <a:graphic xmlns:a="http://schemas.openxmlformats.org/drawingml/2006/main">
                <a:graphicData uri="http://schemas.microsoft.com/office/word/2010/wordprocessingShape">
                  <wps:wsp>
                    <wps:cNvSpPr txBox="1"/>
                    <wps:spPr>
                      <a:xfrm>
                        <a:off x="0" y="0"/>
                        <a:ext cx="1371600" cy="633095"/>
                      </a:xfrm>
                      <a:prstGeom prst="rect">
                        <a:avLst/>
                      </a:prstGeom>
                      <a:noFill/>
                      <a:ln w="12700" cap="flat">
                        <a:noFill/>
                        <a:miter lim="400000"/>
                      </a:ln>
                      <a:effectLst/>
                    </wps:spPr>
                    <wps:txbx>
                      <w:txbxContent>
                        <w:p w14:paraId="725B7D99" w14:textId="77777777" w:rsidR="00AB5209" w:rsidRDefault="000C581D">
                          <w:pPr>
                            <w:rPr>
                              <w:rFonts w:ascii="Times New Roman" w:eastAsia="Times New Roman" w:hAnsi="Times New Roman" w:cs="Times New Roman"/>
                              <w:sz w:val="18"/>
                              <w:szCs w:val="18"/>
                            </w:rPr>
                          </w:pPr>
                          <w:r>
                            <w:rPr>
                              <w:rFonts w:ascii="Times New Roman" w:hAnsi="Times New Roman"/>
                              <w:sz w:val="18"/>
                              <w:szCs w:val="18"/>
                            </w:rPr>
                            <w:t>via Zefferino Faina, 4</w:t>
                          </w:r>
                        </w:p>
                        <w:p w14:paraId="3AEE3AC3" w14:textId="77777777" w:rsidR="00AB5209" w:rsidRDefault="000C581D">
                          <w:r>
                            <w:rPr>
                              <w:rFonts w:ascii="Times New Roman" w:hAnsi="Times New Roman"/>
                              <w:sz w:val="18"/>
                              <w:szCs w:val="18"/>
                            </w:rPr>
                            <w:t>06123 Perugia</w:t>
                          </w:r>
                        </w:p>
                      </w:txbxContent>
                    </wps:txbx>
                    <wps:bodyPr wrap="square" lIns="0" tIns="0" rIns="0" bIns="0" numCol="1" anchor="t">
                      <a:noAutofit/>
                    </wps:bodyPr>
                  </wps:wsp>
                </a:graphicData>
              </a:graphic>
            </wp:anchor>
          </w:drawing>
        </mc:Choice>
        <mc:Fallback>
          <w:pict>
            <v:shapetype w14:anchorId="4DE08EA0" id="_x0000_t202" coordsize="21600,21600" o:spt="202" path="m,l,21600r21600,l21600,xe">
              <v:stroke joinstyle="miter"/>
              <v:path gradientshapeok="t" o:connecttype="rect"/>
            </v:shapetype>
            <v:shape id="officeArt object" o:spid="_x0000_s1026" type="#_x0000_t202" style="position:absolute;margin-left:141.95pt;margin-top:789.9pt;width:108pt;height:49.85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" filled="f" stroked="f" strokeweight="1pt">
              <v:stroke miterlimit="4"/>
              <v:textbox inset="0,0,0,0">
                <w:txbxContent>
                  <w:p w14:paraId="725B7D99" w14:textId="77777777" w:rsidR="00AB5209" w:rsidRDefault="000C581D">
                    <w:pPr>
                      <w:rPr>
                        <w:rFonts w:ascii="Times New Roman" w:eastAsia="Times New Roman" w:hAnsi="Times New Roman" w:cs="Times New Roman"/>
                        <w:sz w:val="18"/>
                        <w:szCs w:val="18"/>
                      </w:rPr>
                    </w:pPr>
                    <w:r>
                      <w:rPr>
                        <w:rFonts w:ascii="Times New Roman" w:hAnsi="Times New Roman"/>
                        <w:sz w:val="18"/>
                        <w:szCs w:val="18"/>
                      </w:rPr>
                      <w:t>via Zefferino Faina, 4</w:t>
                    </w:r>
                  </w:p>
                  <w:p w14:paraId="3AEE3AC3" w14:textId="77777777" w:rsidR="00AB5209" w:rsidRDefault="000C581D">
                    <w:r>
                      <w:rPr>
                        <w:rFonts w:ascii="Times New Roman" w:hAnsi="Times New Roman"/>
                        <w:sz w:val="18"/>
                        <w:szCs w:val="18"/>
                      </w:rPr>
                      <w:t>06123 Perugia</w:t>
                    </w:r>
                  </w:p>
                </w:txbxContent>
              </v:textbox>
              <w10:wrap anchorx="page" anchory="page"/>
            </v:shape>
          </w:pict>
        </mc:Fallback>
      </mc:AlternateContent>
    </w:r>
    <w:r>
      <w:rPr>
        <w:noProof/>
      </w:rPr>
      <mc:AlternateContent>
        <mc:Choice Requires="wps">
          <w:drawing>
            <wp:anchor distT="152400" distB="152400" distL="152400" distR="152400" simplePos="0" relativeHeight="251660288" behindDoc="1" locked="0" layoutInCell="1" allowOverlap="1" wp14:anchorId="520C57BE" wp14:editId="3E8EF581">
              <wp:simplePos x="0" y="0"/>
              <wp:positionH relativeFrom="page">
                <wp:posOffset>3371850</wp:posOffset>
              </wp:positionH>
              <wp:positionV relativeFrom="page">
                <wp:posOffset>10038715</wp:posOffset>
              </wp:positionV>
              <wp:extent cx="981075" cy="633095"/>
              <wp:effectExtent l="0" t="0" r="0" b="0"/>
              <wp:wrapNone/>
              <wp:docPr id="1073741827" name="officeArt object"/>
              <wp:cNvGraphicFramePr/>
              <a:graphic xmlns:a="http://schemas.openxmlformats.org/drawingml/2006/main">
                <a:graphicData uri="http://schemas.microsoft.com/office/word/2010/wordprocessingShape">
                  <wps:wsp>
                    <wps:cNvSpPr txBox="1"/>
                    <wps:spPr>
                      <a:xfrm>
                        <a:off x="0" y="0"/>
                        <a:ext cx="981075" cy="633095"/>
                      </a:xfrm>
                      <a:prstGeom prst="rect">
                        <a:avLst/>
                      </a:prstGeom>
                      <a:noFill/>
                      <a:ln w="12700" cap="flat">
                        <a:noFill/>
                        <a:miter lim="400000"/>
                      </a:ln>
                      <a:effectLst/>
                    </wps:spPr>
                    <wps:txbx>
                      <w:txbxContent>
                        <w:p w14:paraId="23244274" w14:textId="77777777" w:rsidR="00AB5209" w:rsidRDefault="000C581D">
                          <w:r>
                            <w:rPr>
                              <w:rFonts w:ascii="Times New Roman" w:hAnsi="Times New Roman"/>
                              <w:sz w:val="18"/>
                              <w:szCs w:val="18"/>
                            </w:rPr>
                            <w:t>Staff Comunicazione e Relazioni Esterne Ufficio Stampa</w:t>
                          </w:r>
                        </w:p>
                      </w:txbxContent>
                    </wps:txbx>
                    <wps:bodyPr wrap="square" lIns="0" tIns="0" rIns="0" bIns="0" numCol="1" anchor="t">
                      <a:noAutofit/>
                    </wps:bodyPr>
                  </wps:wsp>
                </a:graphicData>
              </a:graphic>
            </wp:anchor>
          </w:drawing>
        </mc:Choice>
        <mc:Fallback>
          <w:pict>
            <v:shape w14:anchorId="520C57BE" id="_x0000_s1027" type="#_x0000_t202" style="position:absolute;margin-left:265.5pt;margin-top:790.45pt;width:77.25pt;height:49.85pt;z-index:-2516561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" filled="f" stroked="f" strokeweight="1pt">
              <v:stroke miterlimit="4"/>
              <v:textbox inset="0,0,0,0">
                <w:txbxContent>
                  <w:p w14:paraId="23244274" w14:textId="77777777" w:rsidR="00AB5209" w:rsidRDefault="000C581D">
                    <w:r>
                      <w:rPr>
                        <w:rFonts w:ascii="Times New Roman" w:hAnsi="Times New Roman"/>
                        <w:sz w:val="18"/>
                        <w:szCs w:val="18"/>
                      </w:rPr>
                      <w:t>Staff Comunicazione e Relazioni Esterne Ufficio Stampa</w:t>
                    </w:r>
                  </w:p>
                </w:txbxContent>
              </v:textbox>
              <w10:wrap anchorx="page" anchory="page"/>
            </v:shape>
          </w:pict>
        </mc:Fallback>
      </mc:AlternateContent>
    </w:r>
    <w:r>
      <w:rPr>
        <w:noProof/>
      </w:rPr>
      <mc:AlternateContent>
        <mc:Choice Requires="wps">
          <w:drawing>
            <wp:anchor distT="152400" distB="152400" distL="152400" distR="152400" simplePos="0" relativeHeight="251661312" behindDoc="1" locked="0" layoutInCell="1" allowOverlap="1" wp14:anchorId="0D6D3BC5" wp14:editId="329AA93E">
              <wp:simplePos x="0" y="0"/>
              <wp:positionH relativeFrom="page">
                <wp:posOffset>4674869</wp:posOffset>
              </wp:positionH>
              <wp:positionV relativeFrom="page">
                <wp:posOffset>10031730</wp:posOffset>
              </wp:positionV>
              <wp:extent cx="1551306" cy="633095"/>
              <wp:effectExtent l="0" t="0" r="0" b="0"/>
              <wp:wrapNone/>
              <wp:docPr id="1073741828" name="officeArt object"/>
              <wp:cNvGraphicFramePr/>
              <a:graphic xmlns:a="http://schemas.openxmlformats.org/drawingml/2006/main">
                <a:graphicData uri="http://schemas.microsoft.com/office/word/2010/wordprocessingShape">
                  <wps:wsp>
                    <wps:cNvSpPr txBox="1"/>
                    <wps:spPr>
                      <a:xfrm>
                        <a:off x="0" y="0"/>
                        <a:ext cx="1551306" cy="633095"/>
                      </a:xfrm>
                      <a:prstGeom prst="rect">
                        <a:avLst/>
                      </a:prstGeom>
                      <a:noFill/>
                      <a:ln w="12700" cap="flat">
                        <a:noFill/>
                        <a:miter lim="400000"/>
                      </a:ln>
                      <a:effectLst/>
                    </wps:spPr>
                    <wps:txbx>
                      <w:txbxContent>
                        <w:p w14:paraId="0BC5B3FF" w14:textId="77777777" w:rsidR="00AB5209" w:rsidRDefault="000C581D">
                          <w:pPr>
                            <w:rPr>
                              <w:rFonts w:ascii="Times New Roman" w:eastAsia="Times New Roman" w:hAnsi="Times New Roman" w:cs="Times New Roman"/>
                              <w:sz w:val="18"/>
                              <w:szCs w:val="18"/>
                            </w:rPr>
                          </w:pPr>
                          <w:r>
                            <w:rPr>
                              <w:rFonts w:ascii="Times New Roman" w:hAnsi="Times New Roman"/>
                              <w:sz w:val="18"/>
                              <w:szCs w:val="18"/>
                            </w:rPr>
                            <w:t>075 585 2255</w:t>
                          </w:r>
                        </w:p>
                        <w:p w14:paraId="3A970173" w14:textId="77777777" w:rsidR="00AB5209" w:rsidRDefault="000C581D">
                          <w:r>
                            <w:rPr>
                              <w:rFonts w:ascii="Times New Roman" w:hAnsi="Times New Roman"/>
                              <w:sz w:val="18"/>
                              <w:szCs w:val="18"/>
                            </w:rPr>
                            <w:t>ufficio.stampa@unipg.it</w:t>
                          </w:r>
                        </w:p>
                      </w:txbxContent>
                    </wps:txbx>
                    <wps:bodyPr wrap="square" lIns="0" tIns="0" rIns="0" bIns="0" numCol="1" anchor="t">
                      <a:noAutofit/>
                    </wps:bodyPr>
                  </wps:wsp>
                </a:graphicData>
              </a:graphic>
            </wp:anchor>
          </w:drawing>
        </mc:Choice>
        <mc:Fallback>
          <w:pict>
            <v:shape w14:anchorId="0D6D3BC5" id="_x0000_s1028" type="#_x0000_t202" style="position:absolute;margin-left:368.1pt;margin-top:789.9pt;width:122.15pt;height:49.85pt;z-index:-25165516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" filled="f" stroked="f" strokeweight="1pt">
              <v:stroke miterlimit="4"/>
              <v:textbox inset="0,0,0,0">
                <w:txbxContent>
                  <w:p w14:paraId="0BC5B3FF" w14:textId="77777777" w:rsidR="00AB5209" w:rsidRDefault="000C581D">
                    <w:pPr>
                      <w:rPr>
                        <w:rFonts w:ascii="Times New Roman" w:eastAsia="Times New Roman" w:hAnsi="Times New Roman" w:cs="Times New Roman"/>
                        <w:sz w:val="18"/>
                        <w:szCs w:val="18"/>
                      </w:rPr>
                    </w:pPr>
                    <w:r>
                      <w:rPr>
                        <w:rFonts w:ascii="Times New Roman" w:hAnsi="Times New Roman"/>
                        <w:sz w:val="18"/>
                        <w:szCs w:val="18"/>
                      </w:rPr>
                      <w:t>075 585 2255</w:t>
                    </w:r>
                  </w:p>
                  <w:p w14:paraId="3A970173" w14:textId="77777777" w:rsidR="00AB5209" w:rsidRDefault="000C581D">
                    <w:r>
                      <w:rPr>
                        <w:rFonts w:ascii="Times New Roman" w:hAnsi="Times New Roman"/>
                        <w:sz w:val="18"/>
                        <w:szCs w:val="18"/>
                      </w:rPr>
                      <w:t>ufficio.stampa@unipg.it</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209"/>
    <w:rsid w:val="00071625"/>
    <w:rsid w:val="000C581D"/>
    <w:rsid w:val="001D50AE"/>
    <w:rsid w:val="00282391"/>
    <w:rsid w:val="002C0F42"/>
    <w:rsid w:val="002D4BCD"/>
    <w:rsid w:val="003161D3"/>
    <w:rsid w:val="004A6D43"/>
    <w:rsid w:val="006768B5"/>
    <w:rsid w:val="00873DD6"/>
    <w:rsid w:val="00877302"/>
    <w:rsid w:val="009C6E13"/>
    <w:rsid w:val="00A6321F"/>
    <w:rsid w:val="00AB5209"/>
    <w:rsid w:val="00C45D18"/>
    <w:rsid w:val="00CA0E86"/>
    <w:rsid w:val="00E71287"/>
    <w:rsid w:val="00F824C6"/>
    <w:rsid w:val="00F8353D"/>
    <w:rsid w:val="00FA5C99"/>
    <w:rsid w:val="00FB54D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A938D1"/>
  <w15:docId w15:val="{282E3486-62DE-4BDB-9739-861E7B8CA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rPr>
      <w:rFonts w:ascii="Arial" w:hAnsi="Arial" w:cs="Arial Unicode MS"/>
      <w:color w:val="000000"/>
      <w:sz w:val="24"/>
      <w:szCs w:val="24"/>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Intestazione">
    <w:name w:val="header"/>
    <w:pPr>
      <w:tabs>
        <w:tab w:val="center" w:pos="4819"/>
        <w:tab w:val="right" w:pos="9638"/>
      </w:tabs>
    </w:pPr>
    <w:rPr>
      <w:rFonts w:ascii="Calibri" w:eastAsia="Calibri" w:hAnsi="Calibri" w:cs="Calibri"/>
      <w:color w:val="000000"/>
      <w:sz w:val="22"/>
      <w:szCs w:val="22"/>
      <w:u w:color="000000"/>
    </w:rPr>
  </w:style>
  <w:style w:type="paragraph" w:styleId="Pidipagina">
    <w:name w:val="footer"/>
    <w:pPr>
      <w:tabs>
        <w:tab w:val="center" w:pos="4819"/>
        <w:tab w:val="right" w:pos="9638"/>
      </w:tabs>
    </w:pPr>
    <w:rPr>
      <w:rFonts w:ascii="Calibri" w:eastAsia="Calibri" w:hAnsi="Calibri" w:cs="Calibri"/>
      <w:color w:val="000000"/>
      <w:sz w:val="22"/>
      <w:szCs w:val="22"/>
      <w:u w:color="000000"/>
    </w:rPr>
  </w:style>
  <w:style w:type="paragraph" w:customStyle="1" w:styleId="CorpoA">
    <w:name w:val="Corpo A"/>
    <w:rPr>
      <w:rFonts w:ascii="Helvetica Neue" w:hAnsi="Helvetica Neue" w:cs="Arial Unicode MS"/>
      <w:color w:val="000000"/>
      <w:sz w:val="22"/>
      <w:szCs w:val="22"/>
      <w:u w:color="000000"/>
    </w:rPr>
  </w:style>
  <w:style w:type="paragraph" w:customStyle="1" w:styleId="Didefault">
    <w:name w:val="Di default"/>
    <w:rPr>
      <w:rFonts w:ascii="Helvetica Neue" w:eastAsia="Helvetica Neue" w:hAnsi="Helvetica Neue" w:cs="Helvetica Neue"/>
      <w:color w:val="000000"/>
      <w:sz w:val="22"/>
      <w:szCs w:val="22"/>
    </w:rPr>
  </w:style>
  <w:style w:type="paragraph" w:styleId="Testocommento">
    <w:name w:val="annotation text"/>
    <w:basedOn w:val="Normale"/>
    <w:link w:val="TestocommentoCarattere"/>
    <w:uiPriority w:val="99"/>
    <w:semiHidden/>
    <w:unhideWhenUsed/>
  </w:style>
  <w:style w:type="character" w:customStyle="1" w:styleId="TestocommentoCarattere">
    <w:name w:val="Testo commento Carattere"/>
    <w:basedOn w:val="Carpredefinitoparagrafo"/>
    <w:link w:val="Testocommento"/>
    <w:uiPriority w:val="99"/>
    <w:semiHidden/>
    <w:rPr>
      <w:rFonts w:ascii="Arial" w:hAnsi="Arial" w:cs="Arial Unicode MS"/>
      <w:color w:val="000000"/>
      <w:sz w:val="24"/>
      <w:szCs w:val="24"/>
      <w:u w:color="000000"/>
    </w:rPr>
  </w:style>
  <w:style w:type="character" w:styleId="Rimandocommento">
    <w:name w:val="annotation reference"/>
    <w:basedOn w:val="Carpredefinitoparagrafo"/>
    <w:uiPriority w:val="99"/>
    <w:semiHidden/>
    <w:unhideWhenUsed/>
    <w:rPr>
      <w:sz w:val="18"/>
      <w:szCs w:val="18"/>
    </w:rPr>
  </w:style>
  <w:style w:type="paragraph" w:styleId="Testofumetto">
    <w:name w:val="Balloon Text"/>
    <w:basedOn w:val="Normale"/>
    <w:link w:val="TestofumettoCarattere"/>
    <w:uiPriority w:val="99"/>
    <w:semiHidden/>
    <w:unhideWhenUsed/>
    <w:rsid w:val="009C6E13"/>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9C6E13"/>
    <w:rPr>
      <w:rFonts w:ascii="Lucida Grande" w:hAnsi="Lucida Grande" w:cs="Lucida Grande"/>
      <w:color w:val="000000"/>
      <w:sz w:val="18"/>
      <w:szCs w:val="18"/>
      <w:u w:color="000000"/>
    </w:rPr>
  </w:style>
  <w:style w:type="paragraph" w:styleId="NormaleWeb">
    <w:name w:val="Normal (Web)"/>
    <w:basedOn w:val="Normale"/>
    <w:uiPriority w:val="99"/>
    <w:semiHidden/>
    <w:unhideWhenUsed/>
    <w:rsid w:val="0007162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66191">
      <w:bodyDiv w:val="1"/>
      <w:marLeft w:val="0"/>
      <w:marRight w:val="0"/>
      <w:marTop w:val="0"/>
      <w:marBottom w:val="0"/>
      <w:divBdr>
        <w:top w:val="none" w:sz="0" w:space="0" w:color="auto"/>
        <w:left w:val="none" w:sz="0" w:space="0" w:color="auto"/>
        <w:bottom w:val="none" w:sz="0" w:space="0" w:color="auto"/>
        <w:right w:val="none" w:sz="0" w:space="0" w:color="auto"/>
      </w:divBdr>
    </w:div>
    <w:div w:id="4441554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1469</Words>
  <Characters>8379</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xxx</Company>
  <LinksUpToDate>false</LinksUpToDate>
  <CharactersWithSpaces>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Marozzi</dc:creator>
  <cp:lastModifiedBy>Maurizio Baglioni</cp:lastModifiedBy>
  <cp:revision>2</cp:revision>
  <dcterms:created xsi:type="dcterms:W3CDTF">2021-06-22T06:43:00Z</dcterms:created>
  <dcterms:modified xsi:type="dcterms:W3CDTF">2021-06-22T06:43:00Z</dcterms:modified>
</cp:coreProperties>
</file>