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5F8" w:rsidRPr="001405F8" w:rsidRDefault="001405F8" w:rsidP="001405F8">
      <w:pPr>
        <w:shd w:val="clear" w:color="auto" w:fill="FFFFFF"/>
        <w:spacing w:line="360" w:lineRule="atLeast"/>
        <w:jc w:val="center"/>
        <w:rPr>
          <w:rFonts w:ascii="Cambria" w:hAnsi="Cambria"/>
          <w:color w:val="201F1E"/>
          <w:lang w:eastAsia="zh-TW"/>
        </w:rPr>
      </w:pPr>
      <w:r w:rsidRPr="001405F8">
        <w:rPr>
          <w:rFonts w:ascii="inherit" w:hAnsi="inherit" w:cs="Arial"/>
          <w:b/>
          <w:bCs/>
          <w:color w:val="000000"/>
          <w:sz w:val="32"/>
          <w:szCs w:val="32"/>
          <w:bdr w:val="none" w:sz="0" w:space="0" w:color="auto" w:frame="1"/>
          <w:lang w:eastAsia="zh-TW"/>
        </w:rPr>
        <w:t xml:space="preserve">UNIVERSITÀ DEGLI STUDI </w:t>
      </w:r>
      <w:proofErr w:type="spellStart"/>
      <w:r w:rsidRPr="001405F8">
        <w:rPr>
          <w:rFonts w:ascii="inherit" w:hAnsi="inherit" w:cs="Arial"/>
          <w:b/>
          <w:bCs/>
          <w:color w:val="000000"/>
          <w:sz w:val="32"/>
          <w:szCs w:val="32"/>
          <w:bdr w:val="none" w:sz="0" w:space="0" w:color="auto" w:frame="1"/>
          <w:lang w:eastAsia="zh-TW"/>
        </w:rPr>
        <w:t>DI</w:t>
      </w:r>
      <w:proofErr w:type="spellEnd"/>
      <w:r w:rsidRPr="001405F8">
        <w:rPr>
          <w:rFonts w:ascii="inherit" w:hAnsi="inherit" w:cs="Arial"/>
          <w:b/>
          <w:bCs/>
          <w:color w:val="000000"/>
          <w:sz w:val="32"/>
          <w:szCs w:val="32"/>
          <w:bdr w:val="none" w:sz="0" w:space="0" w:color="auto" w:frame="1"/>
          <w:lang w:eastAsia="zh-TW"/>
        </w:rPr>
        <w:t xml:space="preserve"> PERUGIA </w:t>
      </w:r>
      <w:r w:rsidRPr="001405F8">
        <w:rPr>
          <w:rFonts w:ascii="inherit" w:hAnsi="inherit" w:cs="Arial"/>
          <w:b/>
          <w:bCs/>
          <w:color w:val="000000"/>
          <w:sz w:val="20"/>
          <w:szCs w:val="20"/>
          <w:bdr w:val="none" w:sz="0" w:space="0" w:color="auto" w:frame="1"/>
          <w:lang w:eastAsia="zh-TW"/>
        </w:rPr>
        <w:t> </w:t>
      </w:r>
      <w:r w:rsidRPr="001405F8">
        <w:rPr>
          <w:rFonts w:ascii="Times New Roman" w:hAnsi="Times New Roman"/>
          <w:color w:val="201F1E"/>
          <w:sz w:val="20"/>
          <w:szCs w:val="20"/>
          <w:bdr w:val="none" w:sz="0" w:space="0" w:color="auto" w:frame="1"/>
          <w:lang w:eastAsia="zh-TW"/>
        </w:rPr>
        <w:t>  </w:t>
      </w:r>
      <w:r w:rsidRPr="001405F8">
        <w:rPr>
          <w:rFonts w:cs="Arial"/>
          <w:b/>
          <w:bCs/>
          <w:color w:val="201F1E"/>
          <w:sz w:val="22"/>
          <w:szCs w:val="22"/>
          <w:bdr w:val="none" w:sz="0" w:space="0" w:color="auto" w:frame="1"/>
          <w:lang w:eastAsia="zh-TW"/>
        </w:rPr>
        <w:br/>
      </w:r>
    </w:p>
    <w:p w:rsidR="001405F8" w:rsidRPr="001405F8" w:rsidRDefault="001405F8" w:rsidP="001405F8">
      <w:pPr>
        <w:shd w:val="clear" w:color="auto" w:fill="FFFFFF"/>
        <w:spacing w:line="360" w:lineRule="atLeast"/>
        <w:jc w:val="center"/>
        <w:rPr>
          <w:rFonts w:ascii="Cambria" w:hAnsi="Cambria"/>
          <w:color w:val="201F1E"/>
          <w:lang w:eastAsia="zh-TW"/>
        </w:rPr>
      </w:pPr>
      <w:r w:rsidRPr="001405F8">
        <w:rPr>
          <w:rFonts w:cs="Arial"/>
          <w:b/>
          <w:bCs/>
          <w:color w:val="201F1E"/>
          <w:sz w:val="22"/>
          <w:szCs w:val="22"/>
          <w:bdr w:val="none" w:sz="0" w:space="0" w:color="auto" w:frame="1"/>
          <w:lang w:eastAsia="zh-TW"/>
        </w:rPr>
        <w:br/>
      </w:r>
    </w:p>
    <w:p w:rsidR="001405F8" w:rsidRPr="001405F8" w:rsidRDefault="001405F8" w:rsidP="001405F8">
      <w:pPr>
        <w:shd w:val="clear" w:color="auto" w:fill="FFFFFF"/>
        <w:spacing w:line="360" w:lineRule="atLeast"/>
        <w:jc w:val="center"/>
        <w:rPr>
          <w:rFonts w:ascii="Cambria" w:hAnsi="Cambria"/>
          <w:color w:val="201F1E"/>
          <w:sz w:val="20"/>
          <w:szCs w:val="20"/>
          <w:lang w:eastAsia="zh-TW"/>
        </w:rPr>
      </w:pPr>
      <w:r w:rsidRPr="001405F8">
        <w:rPr>
          <w:rFonts w:cs="Arial"/>
          <w:b/>
          <w:bCs/>
          <w:color w:val="201F1E"/>
          <w:sz w:val="20"/>
          <w:szCs w:val="20"/>
          <w:bdr w:val="none" w:sz="0" w:space="0" w:color="auto" w:frame="1"/>
          <w:lang w:eastAsia="zh-TW"/>
        </w:rPr>
        <w:t>Approvato all’Università degli Studi di Perugia il primo “Bilancio di genere” </w:t>
      </w:r>
    </w:p>
    <w:p w:rsidR="001405F8" w:rsidRPr="001405F8" w:rsidRDefault="001405F8" w:rsidP="001405F8">
      <w:pPr>
        <w:shd w:val="clear" w:color="auto" w:fill="FFFFFF"/>
        <w:spacing w:line="360" w:lineRule="atLeast"/>
        <w:jc w:val="center"/>
        <w:rPr>
          <w:rFonts w:ascii="Cambria" w:hAnsi="Cambria"/>
          <w:color w:val="201F1E"/>
          <w:sz w:val="20"/>
          <w:szCs w:val="20"/>
          <w:lang w:eastAsia="zh-TW"/>
        </w:rPr>
      </w:pPr>
      <w:r w:rsidRPr="001405F8">
        <w:rPr>
          <w:rFonts w:cs="Arial"/>
          <w:b/>
          <w:bCs/>
          <w:color w:val="201F1E"/>
          <w:sz w:val="20"/>
          <w:szCs w:val="20"/>
          <w:bdr w:val="none" w:sz="0" w:space="0" w:color="auto" w:frame="1"/>
          <w:lang w:eastAsia="zh-TW"/>
        </w:rPr>
        <w:t>Il Rettore Oliviero: “parità di genere sfida fondamentale, aumenta il benessere collettivo” </w:t>
      </w:r>
    </w:p>
    <w:p w:rsidR="001405F8" w:rsidRPr="001405F8" w:rsidRDefault="001405F8" w:rsidP="001405F8">
      <w:pPr>
        <w:shd w:val="clear" w:color="auto" w:fill="FFFFFF"/>
        <w:spacing w:line="360" w:lineRule="atLeast"/>
        <w:jc w:val="center"/>
        <w:rPr>
          <w:rFonts w:ascii="Cambria" w:hAnsi="Cambria"/>
          <w:color w:val="201F1E"/>
          <w:sz w:val="20"/>
          <w:szCs w:val="20"/>
          <w:lang w:eastAsia="zh-TW"/>
        </w:rPr>
      </w:pP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Approvato dal Senato Accademico e dal Consiglio di Amministrazione dell’Università degli Studi di Perugia il primo </w:t>
      </w:r>
      <w:r w:rsidRPr="001405F8">
        <w:rPr>
          <w:rFonts w:cs="Arial"/>
          <w:b/>
          <w:bCs/>
          <w:color w:val="201F1E"/>
          <w:sz w:val="20"/>
          <w:szCs w:val="20"/>
          <w:bdr w:val="none" w:sz="0" w:space="0" w:color="auto" w:frame="1"/>
          <w:lang w:eastAsia="zh-TW"/>
        </w:rPr>
        <w:t>“Bilancio di Genere”</w:t>
      </w:r>
      <w:r w:rsidRPr="001405F8">
        <w:rPr>
          <w:rFonts w:cs="Arial"/>
          <w:color w:val="201F1E"/>
          <w:sz w:val="20"/>
          <w:szCs w:val="20"/>
          <w:bdr w:val="none" w:sz="0" w:space="0" w:color="auto" w:frame="1"/>
          <w:lang w:eastAsia="zh-TW"/>
        </w:rPr>
        <w:t> dell’Ateneo, predisposto secondo le Linee guida elaborate dalla Conferenza dei Rettori delle Università Italiane.  </w:t>
      </w:r>
      <w:r w:rsidRPr="001405F8">
        <w:rPr>
          <w:rFonts w:cs="Arial"/>
          <w:color w:val="000000"/>
          <w:sz w:val="20"/>
          <w:szCs w:val="20"/>
          <w:bdr w:val="none" w:sz="0" w:space="0" w:color="auto" w:frame="1"/>
          <w:lang w:eastAsia="zh-TW"/>
        </w:rPr>
        <w:t>Il documento segna un punto di partenza fondamentale per sensibilizzare e formare la comunità accademica e dare piena realizzazione alle potenzialità di ogni sua componente, promuovendo attivamente il superamento di ogni forma di discriminazione basata sul genere.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“Il raggiungimento concreto e reale della parità di genere rappresenta una delle sfide più importanti e significative del prossimo decennio” ha dichiarato il </w:t>
      </w:r>
      <w:r w:rsidRPr="001405F8">
        <w:rPr>
          <w:rFonts w:cs="Arial"/>
          <w:b/>
          <w:bCs/>
          <w:color w:val="201F1E"/>
          <w:sz w:val="20"/>
          <w:szCs w:val="20"/>
          <w:bdr w:val="none" w:sz="0" w:space="0" w:color="auto" w:frame="1"/>
          <w:lang w:eastAsia="zh-TW"/>
        </w:rPr>
        <w:t>Magnifico Rettore, Prof. Maurizio Oliviero</w:t>
      </w:r>
      <w:r w:rsidRPr="001405F8">
        <w:rPr>
          <w:rFonts w:cs="Arial"/>
          <w:color w:val="201F1E"/>
          <w:sz w:val="20"/>
          <w:szCs w:val="20"/>
          <w:bdr w:val="none" w:sz="0" w:space="0" w:color="auto" w:frame="1"/>
          <w:lang w:eastAsia="zh-TW"/>
        </w:rPr>
        <w:t> – “e non soltanto, come qualcuno potrebbe erroneamente pensare, per evidenti e inoppugnabili ragioni etiche e morali, ma anche poiché il suo mancato conseguimento comporterebbe dei costi sociali, economici, scientifici e culturali altissimi, che non possiamo assolutamente permetterci. Non è per caso o per mera opportunità politica che la </w:t>
      </w:r>
      <w:r w:rsidRPr="001405F8">
        <w:rPr>
          <w:rFonts w:cs="Arial"/>
          <w:i/>
          <w:iCs/>
          <w:color w:val="201F1E"/>
          <w:sz w:val="20"/>
          <w:szCs w:val="20"/>
          <w:bdr w:val="none" w:sz="0" w:space="0" w:color="auto" w:frame="1"/>
          <w:lang w:eastAsia="zh-TW"/>
        </w:rPr>
        <w:t xml:space="preserve">Gender </w:t>
      </w:r>
      <w:proofErr w:type="spellStart"/>
      <w:r w:rsidRPr="001405F8">
        <w:rPr>
          <w:rFonts w:cs="Arial"/>
          <w:i/>
          <w:iCs/>
          <w:color w:val="201F1E"/>
          <w:sz w:val="20"/>
          <w:szCs w:val="20"/>
          <w:bdr w:val="none" w:sz="0" w:space="0" w:color="auto" w:frame="1"/>
          <w:lang w:eastAsia="zh-TW"/>
        </w:rPr>
        <w:t>Equality</w:t>
      </w:r>
      <w:proofErr w:type="spellEnd"/>
      <w:r w:rsidRPr="001405F8">
        <w:rPr>
          <w:rFonts w:cs="Arial"/>
          <w:color w:val="201F1E"/>
          <w:sz w:val="20"/>
          <w:szCs w:val="20"/>
          <w:bdr w:val="none" w:sz="0" w:space="0" w:color="auto" w:frame="1"/>
          <w:lang w:eastAsia="zh-TW"/>
        </w:rPr>
        <w:t> è stata inserita tra i 17 obiettivi di sviluppo sostenibile dell’Agenda 2030 delle Nazioni Unite. Una sua piena attuazione, infatti, innalzerebbe e di molto le nostre prospettive di benessere collettivo, mentre un mantenimento, se pure parziale, dell’identità di genere come parametro discriminatorio comporterebbe un conto salatissimo, in termini di mancate opportunità, di potenzialità sotto-utilizzate e di involuzione sociale. Il primo Bilancio di Genere dell’Università degli Studi di Perugia, approvato oggi all’unanimità, è volto a verificare e a rendere pubblico ciò che è stato fatto ma, soprattutto, quanto rimane ancora da fare, mettendo a disposizione risorse finanziarie per attività di formazione, di contrasto alla discriminazione e alla violenza, di sensibilizzazione e per la promozione di un migliore equilibrio tra lavoro, studio e vita privata. Sentiamo forte come comunità il dovere, </w:t>
      </w:r>
      <w:r w:rsidRPr="001405F8">
        <w:rPr>
          <w:rFonts w:cs="Arial"/>
          <w:i/>
          <w:iCs/>
          <w:color w:val="201F1E"/>
          <w:sz w:val="20"/>
          <w:szCs w:val="20"/>
          <w:bdr w:val="none" w:sz="0" w:space="0" w:color="auto" w:frame="1"/>
          <w:lang w:eastAsia="zh-TW"/>
        </w:rPr>
        <w:t>in primis</w:t>
      </w:r>
      <w:r w:rsidRPr="001405F8">
        <w:rPr>
          <w:rFonts w:cs="Arial"/>
          <w:color w:val="201F1E"/>
          <w:sz w:val="20"/>
          <w:szCs w:val="20"/>
          <w:bdr w:val="none" w:sz="0" w:space="0" w:color="auto" w:frame="1"/>
          <w:lang w:eastAsia="zh-TW"/>
        </w:rPr>
        <w:t> verso le nuove generazioni, di promuovere una cultura realmente inclusiva e basata sulle capacità, sui meriti e sulla qualità delle persone. Il pregiudizio, per sua stessa natura ingiusto, prevaricatorio e socialmente inefficiente, non può e non deve trovare posto nelle nostre aule”.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Il documento costituisce un vero e proprio </w:t>
      </w:r>
      <w:r w:rsidRPr="001405F8">
        <w:rPr>
          <w:rFonts w:cs="Arial"/>
          <w:b/>
          <w:bCs/>
          <w:color w:val="201F1E"/>
          <w:sz w:val="20"/>
          <w:szCs w:val="20"/>
          <w:bdr w:val="none" w:sz="0" w:space="0" w:color="auto" w:frame="1"/>
          <w:lang w:eastAsia="zh-TW"/>
        </w:rPr>
        <w:t>strumento di </w:t>
      </w:r>
      <w:proofErr w:type="spellStart"/>
      <w:r w:rsidRPr="001405F8">
        <w:rPr>
          <w:rFonts w:cs="Arial"/>
          <w:b/>
          <w:bCs/>
          <w:i/>
          <w:iCs/>
          <w:color w:val="201F1E"/>
          <w:sz w:val="20"/>
          <w:szCs w:val="20"/>
          <w:bdr w:val="none" w:sz="0" w:space="0" w:color="auto" w:frame="1"/>
          <w:lang w:eastAsia="zh-TW"/>
        </w:rPr>
        <w:t>governance</w:t>
      </w:r>
      <w:proofErr w:type="spellEnd"/>
      <w:r w:rsidRPr="001405F8">
        <w:rPr>
          <w:rFonts w:cs="Arial"/>
          <w:b/>
          <w:bCs/>
          <w:color w:val="201F1E"/>
          <w:sz w:val="20"/>
          <w:szCs w:val="20"/>
          <w:bdr w:val="none" w:sz="0" w:space="0" w:color="auto" w:frame="1"/>
          <w:lang w:eastAsia="zh-TW"/>
        </w:rPr>
        <w:t> dell’Ateneo</w:t>
      </w:r>
      <w:r w:rsidRPr="001405F8">
        <w:rPr>
          <w:rFonts w:cs="Arial"/>
          <w:color w:val="201F1E"/>
          <w:sz w:val="20"/>
          <w:szCs w:val="20"/>
          <w:bdr w:val="none" w:sz="0" w:space="0" w:color="auto" w:frame="1"/>
          <w:lang w:eastAsia="zh-TW"/>
        </w:rPr>
        <w:t xml:space="preserve">, in quanto redatto attraverso l’integrazione con i principali documenti di programmazione e rendicontazione e conseguentemente volto alla promozione della eguaglianza sostanziale all’interno dell’Università ed è strutturato in tre parti: nella prima si analizza la composizione di genere dell’Ateneo (componente studentesca, corpo docente e ricercatore e personale </w:t>
      </w:r>
      <w:proofErr w:type="spellStart"/>
      <w:r w:rsidRPr="001405F8">
        <w:rPr>
          <w:rFonts w:cs="Arial"/>
          <w:color w:val="201F1E"/>
          <w:sz w:val="20"/>
          <w:szCs w:val="20"/>
          <w:bdr w:val="none" w:sz="0" w:space="0" w:color="auto" w:frame="1"/>
          <w:lang w:eastAsia="zh-TW"/>
        </w:rPr>
        <w:t>tecnico-amministrativo-bibliotecario</w:t>
      </w:r>
      <w:proofErr w:type="spellEnd"/>
      <w:r w:rsidRPr="001405F8">
        <w:rPr>
          <w:rFonts w:cs="Arial"/>
          <w:color w:val="201F1E"/>
          <w:sz w:val="20"/>
          <w:szCs w:val="20"/>
          <w:bdr w:val="none" w:sz="0" w:space="0" w:color="auto" w:frame="1"/>
          <w:lang w:eastAsia="zh-TW"/>
        </w:rPr>
        <w:t xml:space="preserve"> e </w:t>
      </w:r>
      <w:proofErr w:type="spellStart"/>
      <w:r w:rsidRPr="001405F8">
        <w:rPr>
          <w:rFonts w:cs="Arial"/>
          <w:color w:val="201F1E"/>
          <w:sz w:val="20"/>
          <w:szCs w:val="20"/>
          <w:bdr w:val="none" w:sz="0" w:space="0" w:color="auto" w:frame="1"/>
          <w:lang w:eastAsia="zh-TW"/>
        </w:rPr>
        <w:t>cel</w:t>
      </w:r>
      <w:proofErr w:type="spellEnd"/>
      <w:r w:rsidRPr="001405F8">
        <w:rPr>
          <w:rFonts w:cs="Arial"/>
          <w:color w:val="201F1E"/>
          <w:sz w:val="20"/>
          <w:szCs w:val="20"/>
          <w:bdr w:val="none" w:sz="0" w:space="0" w:color="auto" w:frame="1"/>
          <w:lang w:eastAsia="zh-TW"/>
        </w:rPr>
        <w:t>), privilegiando un’ottica comparativa, così da individuare analogie e difformità rispetto agli altri atenei italiani, la partecipazione di donne e uomini negli organi di gestione e la continuità o discontinuità rispetto al passato; nella seconda parte vengono esaminate alcune delle principali linee di intervento, realizzate anche sulla base delle proposte contenute nei “Piani di Azioni Positive” (PAP) approvati dagli organi di governo di Ateneo. Nella terza parte vengono presentate le risorse a disposizione e analizzati in dettaglio i dati economico-finanziari, in un’ottica di genere che comprende la presentazione sintetica del “Piano dell’Eguaglianza di genere” (“</w:t>
      </w:r>
      <w:r w:rsidRPr="001405F8">
        <w:rPr>
          <w:rFonts w:cs="Arial"/>
          <w:i/>
          <w:iCs/>
          <w:color w:val="201F1E"/>
          <w:sz w:val="20"/>
          <w:szCs w:val="20"/>
          <w:bdr w:val="none" w:sz="0" w:space="0" w:color="auto" w:frame="1"/>
          <w:lang w:eastAsia="zh-TW"/>
        </w:rPr>
        <w:t xml:space="preserve">Gender </w:t>
      </w:r>
      <w:proofErr w:type="spellStart"/>
      <w:r w:rsidRPr="001405F8">
        <w:rPr>
          <w:rFonts w:cs="Arial"/>
          <w:i/>
          <w:iCs/>
          <w:color w:val="201F1E"/>
          <w:sz w:val="20"/>
          <w:szCs w:val="20"/>
          <w:bdr w:val="none" w:sz="0" w:space="0" w:color="auto" w:frame="1"/>
          <w:lang w:eastAsia="zh-TW"/>
        </w:rPr>
        <w:t>Equality</w:t>
      </w:r>
      <w:proofErr w:type="spellEnd"/>
      <w:r w:rsidRPr="001405F8">
        <w:rPr>
          <w:rFonts w:cs="Arial"/>
          <w:i/>
          <w:iCs/>
          <w:color w:val="201F1E"/>
          <w:sz w:val="20"/>
          <w:szCs w:val="20"/>
          <w:bdr w:val="none" w:sz="0" w:space="0" w:color="auto" w:frame="1"/>
          <w:lang w:eastAsia="zh-TW"/>
        </w:rPr>
        <w:t xml:space="preserve"> </w:t>
      </w:r>
      <w:proofErr w:type="spellStart"/>
      <w:r w:rsidRPr="001405F8">
        <w:rPr>
          <w:rFonts w:cs="Arial"/>
          <w:i/>
          <w:iCs/>
          <w:color w:val="201F1E"/>
          <w:sz w:val="20"/>
          <w:szCs w:val="20"/>
          <w:bdr w:val="none" w:sz="0" w:space="0" w:color="auto" w:frame="1"/>
          <w:lang w:eastAsia="zh-TW"/>
        </w:rPr>
        <w:t>Plan</w:t>
      </w:r>
      <w:proofErr w:type="spellEnd"/>
      <w:r w:rsidRPr="001405F8">
        <w:rPr>
          <w:rFonts w:cs="Arial"/>
          <w:i/>
          <w:iCs/>
          <w:color w:val="201F1E"/>
          <w:sz w:val="20"/>
          <w:szCs w:val="20"/>
          <w:bdr w:val="none" w:sz="0" w:space="0" w:color="auto" w:frame="1"/>
          <w:lang w:eastAsia="zh-TW"/>
        </w:rPr>
        <w:t>”</w:t>
      </w: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Tra le azioni principali già realizzate per promuovere concretamente le pari opportunità si segnalano: </w:t>
      </w:r>
    </w:p>
    <w:p w:rsidR="001405F8" w:rsidRPr="001405F8" w:rsidRDefault="001405F8" w:rsidP="001405F8">
      <w:pPr>
        <w:numPr>
          <w:ilvl w:val="0"/>
          <w:numId w:val="2"/>
        </w:numPr>
        <w:shd w:val="clear" w:color="auto" w:fill="FFFFFF"/>
        <w:spacing w:beforeAutospacing="1" w:afterAutospacing="1"/>
        <w:rPr>
          <w:rFonts w:ascii="Segoe UI" w:hAnsi="Segoe UI" w:cs="Segoe UI"/>
          <w:color w:val="201F1E"/>
          <w:sz w:val="20"/>
          <w:szCs w:val="20"/>
          <w:lang w:eastAsia="zh-TW"/>
        </w:rPr>
      </w:pPr>
      <w:r w:rsidRPr="001405F8">
        <w:rPr>
          <w:rFonts w:cs="Arial"/>
          <w:color w:val="201F1E"/>
          <w:sz w:val="20"/>
          <w:szCs w:val="20"/>
          <w:bdr w:val="none" w:sz="0" w:space="0" w:color="auto" w:frame="1"/>
          <w:lang w:eastAsia="zh-TW"/>
        </w:rPr>
        <w:t>l’introduzione della Carriera Alias, già istituita su iniziativa del CUG nel 2016 e oggetto di un continuo monitoraggio da parte del Delegato alle Umane Risorse e del suo Osservatorio; </w:t>
      </w:r>
    </w:p>
    <w:p w:rsidR="001405F8" w:rsidRPr="001405F8" w:rsidRDefault="001405F8" w:rsidP="001405F8">
      <w:pPr>
        <w:numPr>
          <w:ilvl w:val="0"/>
          <w:numId w:val="2"/>
        </w:numPr>
        <w:shd w:val="clear" w:color="auto" w:fill="FFFFFF"/>
        <w:spacing w:beforeAutospacing="1" w:afterAutospacing="1"/>
        <w:rPr>
          <w:rFonts w:ascii="Segoe UI" w:hAnsi="Segoe UI" w:cs="Segoe UI"/>
          <w:color w:val="201F1E"/>
          <w:sz w:val="20"/>
          <w:szCs w:val="20"/>
          <w:lang w:eastAsia="zh-TW"/>
        </w:rPr>
      </w:pPr>
      <w:r w:rsidRPr="001405F8">
        <w:rPr>
          <w:rFonts w:cs="Arial"/>
          <w:color w:val="201F1E"/>
          <w:sz w:val="20"/>
          <w:szCs w:val="20"/>
          <w:bdr w:val="none" w:sz="0" w:space="0" w:color="auto" w:frame="1"/>
          <w:lang w:eastAsia="zh-TW"/>
        </w:rPr>
        <w:t>La recente creazione dello Sportello antiviolenza, attivato nel 2020; </w:t>
      </w:r>
    </w:p>
    <w:p w:rsidR="001405F8" w:rsidRPr="001405F8" w:rsidRDefault="001405F8" w:rsidP="001405F8">
      <w:pPr>
        <w:numPr>
          <w:ilvl w:val="0"/>
          <w:numId w:val="2"/>
        </w:numPr>
        <w:shd w:val="clear" w:color="auto" w:fill="FFFFFF"/>
        <w:spacing w:beforeAutospacing="1" w:afterAutospacing="1"/>
        <w:rPr>
          <w:rFonts w:ascii="Segoe UI" w:hAnsi="Segoe UI" w:cs="Segoe UI"/>
          <w:color w:val="201F1E"/>
          <w:sz w:val="20"/>
          <w:szCs w:val="20"/>
          <w:lang w:eastAsia="zh-TW"/>
        </w:rPr>
      </w:pPr>
      <w:r w:rsidRPr="001405F8">
        <w:rPr>
          <w:rFonts w:cs="Arial"/>
          <w:color w:val="201F1E"/>
          <w:sz w:val="20"/>
          <w:szCs w:val="20"/>
          <w:bdr w:val="none" w:sz="0" w:space="0" w:color="auto" w:frame="1"/>
          <w:lang w:eastAsia="zh-TW"/>
        </w:rPr>
        <w:t>L’istituzione della figura della Consigliere di fiducia, a cui chiunque appartenga alla comunità accademica potrà rivolgersi per segnalare eventuali disagi legati a fenomeni di </w:t>
      </w:r>
      <w:r w:rsidRPr="001405F8">
        <w:rPr>
          <w:rFonts w:cs="Arial"/>
          <w:i/>
          <w:iCs/>
          <w:color w:val="201F1E"/>
          <w:sz w:val="20"/>
          <w:szCs w:val="20"/>
          <w:bdr w:val="none" w:sz="0" w:space="0" w:color="auto" w:frame="1"/>
          <w:lang w:eastAsia="zh-TW"/>
        </w:rPr>
        <w:t>mobbing</w:t>
      </w:r>
      <w:r w:rsidRPr="001405F8">
        <w:rPr>
          <w:rFonts w:cs="Arial"/>
          <w:color w:val="201F1E"/>
          <w:sz w:val="20"/>
          <w:szCs w:val="20"/>
          <w:bdr w:val="none" w:sz="0" w:space="0" w:color="auto" w:frame="1"/>
          <w:lang w:eastAsia="zh-TW"/>
        </w:rPr>
        <w:t>, discriminazione, molestie o violenze di genere, in ambito lavorativo e di studio;  </w:t>
      </w:r>
    </w:p>
    <w:p w:rsidR="001405F8" w:rsidRPr="001405F8" w:rsidRDefault="001405F8" w:rsidP="001405F8">
      <w:pPr>
        <w:numPr>
          <w:ilvl w:val="0"/>
          <w:numId w:val="2"/>
        </w:numPr>
        <w:shd w:val="clear" w:color="auto" w:fill="FFFFFF"/>
        <w:spacing w:beforeAutospacing="1" w:afterAutospacing="1"/>
        <w:rPr>
          <w:rFonts w:ascii="Segoe UI" w:hAnsi="Segoe UI" w:cs="Segoe UI"/>
          <w:color w:val="201F1E"/>
          <w:sz w:val="20"/>
          <w:szCs w:val="20"/>
          <w:lang w:eastAsia="zh-TW"/>
        </w:rPr>
      </w:pPr>
      <w:r w:rsidRPr="001405F8">
        <w:rPr>
          <w:rFonts w:cs="Arial"/>
          <w:color w:val="201F1E"/>
          <w:sz w:val="20"/>
          <w:szCs w:val="20"/>
          <w:bdr w:val="none" w:sz="0" w:space="0" w:color="auto" w:frame="1"/>
          <w:lang w:eastAsia="zh-TW"/>
        </w:rPr>
        <w:t>L’elaborazione da parte del CUG del “Piano di Azioni Positive” (PAP), il documento programmatico che individua le azioni “tendenti ad assicurare, nel loro ambito rispettivo, la rimozione degli ostacoli che, di fatto, impediscono la piena realizzazione di pari opportunità di lavoro e nel lavoro tra uomini e donne”; </w:t>
      </w:r>
    </w:p>
    <w:p w:rsidR="001405F8" w:rsidRPr="001405F8" w:rsidRDefault="001405F8" w:rsidP="001405F8">
      <w:pPr>
        <w:numPr>
          <w:ilvl w:val="0"/>
          <w:numId w:val="2"/>
        </w:numPr>
        <w:shd w:val="clear" w:color="auto" w:fill="FFFFFF"/>
        <w:spacing w:beforeAutospacing="1" w:afterAutospacing="1"/>
        <w:rPr>
          <w:rFonts w:ascii="Segoe UI" w:hAnsi="Segoe UI" w:cs="Segoe UI"/>
          <w:color w:val="201F1E"/>
          <w:sz w:val="20"/>
          <w:szCs w:val="20"/>
          <w:lang w:eastAsia="zh-TW"/>
        </w:rPr>
      </w:pPr>
      <w:r w:rsidRPr="001405F8">
        <w:rPr>
          <w:rFonts w:cs="Arial"/>
          <w:color w:val="201F1E"/>
          <w:sz w:val="20"/>
          <w:szCs w:val="20"/>
          <w:bdr w:val="none" w:sz="0" w:space="0" w:color="auto" w:frame="1"/>
          <w:lang w:eastAsia="zh-TW"/>
        </w:rPr>
        <w:t>La realizzazione di numerose iniziative didattiche e seminariali universitarie e con le scuole, al fine di sviluppare una cultura di contrasto alle discriminazioni, alle violenze di genere e agli stereotipi, quali, ad esempio, quelli che limitano la presenza delle donne nelle lauree STEM (</w:t>
      </w:r>
      <w:r w:rsidRPr="001405F8">
        <w:rPr>
          <w:rFonts w:cs="Arial"/>
          <w:i/>
          <w:iCs/>
          <w:color w:val="201F1E"/>
          <w:sz w:val="20"/>
          <w:szCs w:val="20"/>
          <w:bdr w:val="none" w:sz="0" w:space="0" w:color="auto" w:frame="1"/>
          <w:lang w:eastAsia="zh-TW"/>
        </w:rPr>
        <w:t xml:space="preserve">science, </w:t>
      </w:r>
      <w:proofErr w:type="spellStart"/>
      <w:r w:rsidRPr="001405F8">
        <w:rPr>
          <w:rFonts w:cs="Arial"/>
          <w:i/>
          <w:iCs/>
          <w:color w:val="201F1E"/>
          <w:sz w:val="20"/>
          <w:szCs w:val="20"/>
          <w:bdr w:val="none" w:sz="0" w:space="0" w:color="auto" w:frame="1"/>
          <w:lang w:eastAsia="zh-TW"/>
        </w:rPr>
        <w:t>technology</w:t>
      </w:r>
      <w:proofErr w:type="spellEnd"/>
      <w:r w:rsidRPr="001405F8">
        <w:rPr>
          <w:rFonts w:cs="Arial"/>
          <w:i/>
          <w:iCs/>
          <w:color w:val="201F1E"/>
          <w:sz w:val="20"/>
          <w:szCs w:val="20"/>
          <w:bdr w:val="none" w:sz="0" w:space="0" w:color="auto" w:frame="1"/>
          <w:lang w:eastAsia="zh-TW"/>
        </w:rPr>
        <w:t xml:space="preserve">, </w:t>
      </w:r>
      <w:proofErr w:type="spellStart"/>
      <w:r w:rsidRPr="001405F8">
        <w:rPr>
          <w:rFonts w:cs="Arial"/>
          <w:i/>
          <w:iCs/>
          <w:color w:val="201F1E"/>
          <w:sz w:val="20"/>
          <w:szCs w:val="20"/>
          <w:bdr w:val="none" w:sz="0" w:space="0" w:color="auto" w:frame="1"/>
          <w:lang w:eastAsia="zh-TW"/>
        </w:rPr>
        <w:t>engineering</w:t>
      </w:r>
      <w:proofErr w:type="spellEnd"/>
      <w:r w:rsidRPr="001405F8">
        <w:rPr>
          <w:rFonts w:cs="Arial"/>
          <w:i/>
          <w:iCs/>
          <w:color w:val="201F1E"/>
          <w:sz w:val="20"/>
          <w:szCs w:val="20"/>
          <w:bdr w:val="none" w:sz="0" w:space="0" w:color="auto" w:frame="1"/>
          <w:lang w:eastAsia="zh-TW"/>
        </w:rPr>
        <w:t xml:space="preserve"> and </w:t>
      </w:r>
      <w:proofErr w:type="spellStart"/>
      <w:r w:rsidRPr="001405F8">
        <w:rPr>
          <w:rFonts w:cs="Arial"/>
          <w:i/>
          <w:iCs/>
          <w:color w:val="201F1E"/>
          <w:sz w:val="20"/>
          <w:szCs w:val="20"/>
          <w:bdr w:val="none" w:sz="0" w:space="0" w:color="auto" w:frame="1"/>
          <w:lang w:eastAsia="zh-TW"/>
        </w:rPr>
        <w:t>mathematics</w:t>
      </w:r>
      <w:proofErr w:type="spellEnd"/>
      <w:r w:rsidRPr="001405F8">
        <w:rPr>
          <w:rFonts w:cs="Arial"/>
          <w:i/>
          <w:iCs/>
          <w:color w:val="201F1E"/>
          <w:sz w:val="20"/>
          <w:szCs w:val="20"/>
          <w:bdr w:val="none" w:sz="0" w:space="0" w:color="auto" w:frame="1"/>
          <w:lang w:eastAsia="zh-TW"/>
        </w:rPr>
        <w:t>)</w:t>
      </w: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Alla redazione del Bilancio di Genere, oltre al </w:t>
      </w:r>
      <w:r w:rsidRPr="001405F8">
        <w:rPr>
          <w:rFonts w:cs="Arial"/>
          <w:b/>
          <w:bCs/>
          <w:color w:val="201F1E"/>
          <w:sz w:val="20"/>
          <w:szCs w:val="20"/>
          <w:bdr w:val="none" w:sz="0" w:space="0" w:color="auto" w:frame="1"/>
          <w:lang w:eastAsia="zh-TW"/>
        </w:rPr>
        <w:t>Magnifico Rettore Prof. Oliviero</w:t>
      </w:r>
      <w:r w:rsidRPr="001405F8">
        <w:rPr>
          <w:rFonts w:cs="Arial"/>
          <w:color w:val="201F1E"/>
          <w:sz w:val="20"/>
          <w:szCs w:val="20"/>
          <w:bdr w:val="none" w:sz="0" w:space="0" w:color="auto" w:frame="1"/>
          <w:lang w:eastAsia="zh-TW"/>
        </w:rPr>
        <w:t>, hanno partecipato, in particolare, il </w:t>
      </w:r>
      <w:r w:rsidRPr="001405F8">
        <w:rPr>
          <w:rFonts w:cs="Arial"/>
          <w:b/>
          <w:bCs/>
          <w:color w:val="201F1E"/>
          <w:sz w:val="20"/>
          <w:szCs w:val="20"/>
          <w:bdr w:val="none" w:sz="0" w:space="0" w:color="auto" w:frame="1"/>
          <w:lang w:eastAsia="zh-TW"/>
        </w:rPr>
        <w:t>Delegato alle Umane Risorse Prof. Mario Tosti</w:t>
      </w:r>
      <w:r w:rsidRPr="001405F8">
        <w:rPr>
          <w:rFonts w:cs="Arial"/>
          <w:color w:val="201F1E"/>
          <w:sz w:val="20"/>
          <w:szCs w:val="20"/>
          <w:bdr w:val="none" w:sz="0" w:space="0" w:color="auto" w:frame="1"/>
          <w:lang w:eastAsia="zh-TW"/>
        </w:rPr>
        <w:t>, il </w:t>
      </w:r>
      <w:r w:rsidRPr="001405F8">
        <w:rPr>
          <w:rFonts w:cs="Arial"/>
          <w:b/>
          <w:bCs/>
          <w:color w:val="201F1E"/>
          <w:sz w:val="20"/>
          <w:szCs w:val="20"/>
          <w:bdr w:val="none" w:sz="0" w:space="0" w:color="auto" w:frame="1"/>
          <w:lang w:eastAsia="zh-TW"/>
        </w:rPr>
        <w:t xml:space="preserve">Direttore Generale Dott.ssa Anna </w:t>
      </w:r>
      <w:proofErr w:type="spellStart"/>
      <w:r w:rsidRPr="001405F8">
        <w:rPr>
          <w:rFonts w:cs="Arial"/>
          <w:b/>
          <w:bCs/>
          <w:color w:val="201F1E"/>
          <w:sz w:val="20"/>
          <w:szCs w:val="20"/>
          <w:bdr w:val="none" w:sz="0" w:space="0" w:color="auto" w:frame="1"/>
          <w:lang w:eastAsia="zh-TW"/>
        </w:rPr>
        <w:t>Vivolo</w:t>
      </w:r>
      <w:proofErr w:type="spellEnd"/>
      <w:r w:rsidRPr="001405F8">
        <w:rPr>
          <w:rFonts w:cs="Arial"/>
          <w:color w:val="201F1E"/>
          <w:sz w:val="20"/>
          <w:szCs w:val="20"/>
          <w:bdr w:val="none" w:sz="0" w:space="0" w:color="auto" w:frame="1"/>
          <w:lang w:eastAsia="zh-TW"/>
        </w:rPr>
        <w:t> e la </w:t>
      </w:r>
      <w:r w:rsidRPr="001405F8">
        <w:rPr>
          <w:rFonts w:cs="Arial"/>
          <w:b/>
          <w:bCs/>
          <w:color w:val="201F1E"/>
          <w:sz w:val="20"/>
          <w:szCs w:val="20"/>
          <w:bdr w:val="none" w:sz="0" w:space="0" w:color="auto" w:frame="1"/>
          <w:lang w:eastAsia="zh-TW"/>
        </w:rPr>
        <w:t xml:space="preserve">Presidente del Comitato Unico di Garanzia (CUG), Prof.ssa Silvia </w:t>
      </w:r>
      <w:proofErr w:type="spellStart"/>
      <w:r w:rsidRPr="001405F8">
        <w:rPr>
          <w:rFonts w:cs="Arial"/>
          <w:b/>
          <w:bCs/>
          <w:color w:val="201F1E"/>
          <w:sz w:val="20"/>
          <w:szCs w:val="20"/>
          <w:bdr w:val="none" w:sz="0" w:space="0" w:color="auto" w:frame="1"/>
          <w:lang w:eastAsia="zh-TW"/>
        </w:rPr>
        <w:t>Fornari</w:t>
      </w:r>
      <w:proofErr w:type="spellEnd"/>
      <w:r w:rsidRPr="001405F8">
        <w:rPr>
          <w:rFonts w:cs="Arial"/>
          <w:b/>
          <w:bCs/>
          <w:color w:val="201F1E"/>
          <w:sz w:val="20"/>
          <w:szCs w:val="20"/>
          <w:bdr w:val="none" w:sz="0" w:space="0" w:color="auto" w:frame="1"/>
          <w:lang w:eastAsia="zh-TW"/>
        </w:rPr>
        <w:t>.</w:t>
      </w: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Il coordinamento scientifico del progetto è stato curato dalla </w:t>
      </w:r>
      <w:r w:rsidRPr="001405F8">
        <w:rPr>
          <w:rFonts w:cs="Arial"/>
          <w:b/>
          <w:bCs/>
          <w:color w:val="201F1E"/>
          <w:sz w:val="20"/>
          <w:szCs w:val="20"/>
          <w:bdr w:val="none" w:sz="0" w:space="0" w:color="auto" w:frame="1"/>
          <w:lang w:eastAsia="zh-TW"/>
        </w:rPr>
        <w:t>Prof.ssa Mirella Damiani</w:t>
      </w:r>
      <w:r w:rsidRPr="001405F8">
        <w:rPr>
          <w:rFonts w:cs="Arial"/>
          <w:color w:val="201F1E"/>
          <w:sz w:val="20"/>
          <w:szCs w:val="20"/>
          <w:bdr w:val="none" w:sz="0" w:space="0" w:color="auto" w:frame="1"/>
          <w:lang w:eastAsia="zh-TW"/>
        </w:rPr>
        <w:t>; all’elaborazione e alla stesura hanno partecipato, inoltre, le </w:t>
      </w:r>
      <w:r w:rsidRPr="001405F8">
        <w:rPr>
          <w:rFonts w:cs="Arial"/>
          <w:b/>
          <w:bCs/>
          <w:color w:val="201F1E"/>
          <w:sz w:val="20"/>
          <w:szCs w:val="20"/>
          <w:bdr w:val="none" w:sz="0" w:space="0" w:color="auto" w:frame="1"/>
          <w:lang w:eastAsia="zh-TW"/>
        </w:rPr>
        <w:t xml:space="preserve">Prof.sse Emanuela </w:t>
      </w:r>
      <w:proofErr w:type="spellStart"/>
      <w:r w:rsidRPr="001405F8">
        <w:rPr>
          <w:rFonts w:cs="Arial"/>
          <w:b/>
          <w:bCs/>
          <w:color w:val="201F1E"/>
          <w:sz w:val="20"/>
          <w:szCs w:val="20"/>
          <w:bdr w:val="none" w:sz="0" w:space="0" w:color="auto" w:frame="1"/>
          <w:lang w:eastAsia="zh-TW"/>
        </w:rPr>
        <w:t>Costantini</w:t>
      </w:r>
      <w:proofErr w:type="spellEnd"/>
      <w:r w:rsidRPr="001405F8">
        <w:rPr>
          <w:rFonts w:cs="Arial"/>
          <w:b/>
          <w:bCs/>
          <w:color w:val="201F1E"/>
          <w:sz w:val="20"/>
          <w:szCs w:val="20"/>
          <w:bdr w:val="none" w:sz="0" w:space="0" w:color="auto" w:frame="1"/>
          <w:lang w:eastAsia="zh-TW"/>
        </w:rPr>
        <w:t xml:space="preserve"> e Maria Giovanna </w:t>
      </w:r>
      <w:proofErr w:type="spellStart"/>
      <w:r w:rsidRPr="001405F8">
        <w:rPr>
          <w:rFonts w:cs="Arial"/>
          <w:b/>
          <w:bCs/>
          <w:color w:val="201F1E"/>
          <w:sz w:val="20"/>
          <w:szCs w:val="20"/>
          <w:bdr w:val="none" w:sz="0" w:space="0" w:color="auto" w:frame="1"/>
          <w:lang w:eastAsia="zh-TW"/>
        </w:rPr>
        <w:t>Ranalli</w:t>
      </w:r>
      <w:proofErr w:type="spellEnd"/>
      <w:r w:rsidRPr="001405F8">
        <w:rPr>
          <w:rFonts w:cs="Arial"/>
          <w:b/>
          <w:bCs/>
          <w:color w:val="201F1E"/>
          <w:sz w:val="20"/>
          <w:szCs w:val="20"/>
          <w:bdr w:val="none" w:sz="0" w:space="0" w:color="auto" w:frame="1"/>
          <w:lang w:eastAsia="zh-TW"/>
        </w:rPr>
        <w:t>,</w:t>
      </w:r>
      <w:r w:rsidRPr="001405F8">
        <w:rPr>
          <w:rFonts w:cs="Arial"/>
          <w:color w:val="201F1E"/>
          <w:sz w:val="20"/>
          <w:szCs w:val="20"/>
          <w:bdr w:val="none" w:sz="0" w:space="0" w:color="auto" w:frame="1"/>
          <w:lang w:eastAsia="zh-TW"/>
        </w:rPr>
        <w:t> con il supporto tecnico delle Ripartizioni Didattica, Programmazione Finanziaria e Bilancio, del Personale, dell’Area Relazioni Internazionali, della Ricerca e di Terza missione.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“Una indicazione generale, che fa seguito alle raccomandazioni stesse dell’Unione Europea” - ha dichiarato la Prof.ssa Mirella Damiani – “è quella di inserire la prospettiva del genere in tutte le fasi di programmazione e di bilancio dell’Ateneo. In questa direzione si colloca anche la prima proposta di riclassificazione dei costi dell’Ateneo nella prospettiva del genere. Si tratta di una strada solo avviata, ma da percorrere anche in futuro per accrescere la consapevolezza degli effetti che le politiche universitarie possono avere sugli squilibri tuttora esistenti e orientare gli impegni, anche finanziari, verso l’obiettivo di ‘accorciare le distanze’. Per un ente universitario affrontare la dimensione del genere, riferita alle condizioni delle donne e degli uomini che lavorano e studiano al suo interno, deve significare anche orientare e promuovere attività di didattica e di ricerca in cui la dimensione del genere arricchisca la comprensione dei fenomeni, limiti la diffusione degli stereotipi e indirizzi a politiche per il superamento dei divari esistenti”.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t>Si allega al presente comunicato il documento approvato, al fine di consentirne la lettura integrale.   </w:t>
      </w:r>
    </w:p>
    <w:p w:rsidR="001405F8" w:rsidRPr="001405F8" w:rsidRDefault="001405F8" w:rsidP="001405F8">
      <w:pPr>
        <w:shd w:val="clear" w:color="auto" w:fill="FFFFFF"/>
        <w:spacing w:line="360" w:lineRule="atLeast"/>
        <w:jc w:val="both"/>
        <w:rPr>
          <w:rFonts w:ascii="Cambria" w:hAnsi="Cambria"/>
          <w:color w:val="201F1E"/>
          <w:sz w:val="20"/>
          <w:szCs w:val="20"/>
          <w:lang w:eastAsia="zh-TW"/>
        </w:rPr>
      </w:pPr>
      <w:r w:rsidRPr="001405F8">
        <w:rPr>
          <w:rFonts w:cs="Arial"/>
          <w:color w:val="201F1E"/>
          <w:sz w:val="20"/>
          <w:szCs w:val="20"/>
          <w:bdr w:val="none" w:sz="0" w:space="0" w:color="auto" w:frame="1"/>
          <w:lang w:eastAsia="zh-TW"/>
        </w:rPr>
        <w:br/>
      </w:r>
    </w:p>
    <w:p w:rsidR="001405F8" w:rsidRPr="001405F8" w:rsidRDefault="001405F8" w:rsidP="001405F8">
      <w:pPr>
        <w:shd w:val="clear" w:color="auto" w:fill="FFFFFF"/>
        <w:textAlignment w:val="baseline"/>
        <w:rPr>
          <w:rFonts w:ascii="Calibri" w:hAnsi="Calibri" w:cs="Calibri"/>
          <w:color w:val="000000"/>
          <w:sz w:val="20"/>
          <w:szCs w:val="20"/>
          <w:lang w:eastAsia="zh-TW"/>
        </w:rPr>
      </w:pPr>
      <w:r w:rsidRPr="001405F8">
        <w:rPr>
          <w:rFonts w:ascii="Calibri" w:hAnsi="Calibri" w:cs="Calibri"/>
          <w:color w:val="000000"/>
          <w:sz w:val="20"/>
          <w:szCs w:val="20"/>
          <w:lang w:eastAsia="zh-TW"/>
        </w:rPr>
        <w:br/>
      </w:r>
    </w:p>
    <w:p w:rsidR="001405F8" w:rsidRPr="001405F8" w:rsidRDefault="001405F8" w:rsidP="001405F8">
      <w:pPr>
        <w:shd w:val="clear" w:color="auto" w:fill="FFFFFF"/>
        <w:textAlignment w:val="baseline"/>
        <w:rPr>
          <w:rFonts w:ascii="Calibri" w:hAnsi="Calibri" w:cs="Calibri"/>
          <w:b/>
          <w:color w:val="000000"/>
          <w:sz w:val="20"/>
          <w:szCs w:val="20"/>
          <w:lang w:eastAsia="zh-TW"/>
        </w:rPr>
      </w:pPr>
      <w:r w:rsidRPr="001405F8">
        <w:rPr>
          <w:rFonts w:cs="Arial"/>
          <w:b/>
          <w:color w:val="000000"/>
          <w:sz w:val="20"/>
          <w:szCs w:val="20"/>
          <w:bdr w:val="none" w:sz="0" w:space="0" w:color="auto" w:frame="1"/>
          <w:lang w:eastAsia="zh-TW"/>
        </w:rPr>
        <w:t>Perugia, 28 luglio 2021</w:t>
      </w:r>
    </w:p>
    <w:p w:rsidR="00233916" w:rsidRPr="001405F8" w:rsidRDefault="00233916" w:rsidP="00421FFD">
      <w:pPr>
        <w:pStyle w:val="xxmsonormal"/>
        <w:shd w:val="clear" w:color="auto" w:fill="FFFFFF"/>
        <w:spacing w:before="0" w:beforeAutospacing="0" w:after="0" w:afterAutospacing="0"/>
        <w:jc w:val="both"/>
        <w:rPr>
          <w:rFonts w:ascii="Arial" w:hAnsi="Arial" w:cs="Arial"/>
          <w:color w:val="201F1E"/>
          <w:sz w:val="20"/>
          <w:szCs w:val="20"/>
        </w:rPr>
      </w:pPr>
      <w:r w:rsidRPr="001405F8">
        <w:rPr>
          <w:rFonts w:ascii="Arial" w:hAnsi="Arial" w:cs="Arial"/>
          <w:color w:val="201F1E"/>
          <w:sz w:val="20"/>
          <w:szCs w:val="20"/>
          <w:bdr w:val="none" w:sz="0" w:space="0" w:color="auto" w:frame="1"/>
          <w:shd w:val="clear" w:color="auto" w:fill="FFFFFF"/>
          <w:lang w:val="en-US"/>
        </w:rPr>
        <w:t> </w:t>
      </w:r>
    </w:p>
    <w:p w:rsidR="00226F99" w:rsidRPr="00CA6A64" w:rsidRDefault="00226F99" w:rsidP="00233916">
      <w:pPr>
        <w:spacing w:line="235" w:lineRule="atLeast"/>
        <w:jc w:val="center"/>
        <w:rPr>
          <w:rFonts w:cs="Arial"/>
          <w:sz w:val="20"/>
          <w:szCs w:val="20"/>
        </w:rPr>
      </w:pPr>
    </w:p>
    <w:sectPr w:rsidR="00226F99" w:rsidRPr="00CA6A64"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59B" w:rsidRDefault="00D0659B" w:rsidP="005C2BD2">
      <w:r>
        <w:separator/>
      </w:r>
    </w:p>
  </w:endnote>
  <w:endnote w:type="continuationSeparator" w:id="0">
    <w:p w:rsidR="00D0659B" w:rsidRDefault="00D0659B" w:rsidP="005C2B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Work Sans">
    <w:altName w:val="Work"/>
    <w:charset w:val="00"/>
    <w:family w:val="auto"/>
    <w:pitch w:val="variable"/>
    <w:sig w:usb0="00000003"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045D33"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lang w:eastAsia="it-IT"/>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lang w:eastAsia="it-IT"/>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59B" w:rsidRDefault="00D0659B" w:rsidP="005C2BD2">
      <w:r>
        <w:separator/>
      </w:r>
    </w:p>
  </w:footnote>
  <w:footnote w:type="continuationSeparator" w:id="0">
    <w:p w:rsidR="00D0659B" w:rsidRDefault="00D0659B"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045D3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045D3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045D3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65359"/>
    <w:multiLevelType w:val="multilevel"/>
    <w:tmpl w:val="8784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022A5"/>
    <w:rsid w:val="00020EB4"/>
    <w:rsid w:val="00024DFD"/>
    <w:rsid w:val="0002574A"/>
    <w:rsid w:val="00026D06"/>
    <w:rsid w:val="000305E6"/>
    <w:rsid w:val="000369FB"/>
    <w:rsid w:val="000419F3"/>
    <w:rsid w:val="00045D33"/>
    <w:rsid w:val="000545C9"/>
    <w:rsid w:val="000560F4"/>
    <w:rsid w:val="000615D9"/>
    <w:rsid w:val="0006359B"/>
    <w:rsid w:val="00065CF4"/>
    <w:rsid w:val="00073475"/>
    <w:rsid w:val="00073B57"/>
    <w:rsid w:val="00090923"/>
    <w:rsid w:val="0009133E"/>
    <w:rsid w:val="0009256A"/>
    <w:rsid w:val="000959E4"/>
    <w:rsid w:val="0009753C"/>
    <w:rsid w:val="000A3BBD"/>
    <w:rsid w:val="000B1916"/>
    <w:rsid w:val="000B19B9"/>
    <w:rsid w:val="000F6DF4"/>
    <w:rsid w:val="0010041F"/>
    <w:rsid w:val="0011350E"/>
    <w:rsid w:val="00121708"/>
    <w:rsid w:val="00123005"/>
    <w:rsid w:val="00123184"/>
    <w:rsid w:val="001405F8"/>
    <w:rsid w:val="001550DC"/>
    <w:rsid w:val="00160004"/>
    <w:rsid w:val="001645A1"/>
    <w:rsid w:val="001764F6"/>
    <w:rsid w:val="00177724"/>
    <w:rsid w:val="001805C9"/>
    <w:rsid w:val="0019251B"/>
    <w:rsid w:val="00195086"/>
    <w:rsid w:val="001B3AA6"/>
    <w:rsid w:val="001F0BCB"/>
    <w:rsid w:val="001F2C9A"/>
    <w:rsid w:val="002000B2"/>
    <w:rsid w:val="00204420"/>
    <w:rsid w:val="002104C3"/>
    <w:rsid w:val="0022587A"/>
    <w:rsid w:val="00226F99"/>
    <w:rsid w:val="00233916"/>
    <w:rsid w:val="00287D82"/>
    <w:rsid w:val="002C3265"/>
    <w:rsid w:val="002C71EB"/>
    <w:rsid w:val="002C7989"/>
    <w:rsid w:val="002E5FFD"/>
    <w:rsid w:val="002E7752"/>
    <w:rsid w:val="002E7EC6"/>
    <w:rsid w:val="002F14B9"/>
    <w:rsid w:val="002F23BF"/>
    <w:rsid w:val="003000FE"/>
    <w:rsid w:val="00303163"/>
    <w:rsid w:val="00306D01"/>
    <w:rsid w:val="00321912"/>
    <w:rsid w:val="003340DC"/>
    <w:rsid w:val="00342E50"/>
    <w:rsid w:val="00374FD6"/>
    <w:rsid w:val="003A73B0"/>
    <w:rsid w:val="003B2A92"/>
    <w:rsid w:val="003B3F39"/>
    <w:rsid w:val="003D101F"/>
    <w:rsid w:val="003D4636"/>
    <w:rsid w:val="003D6C8E"/>
    <w:rsid w:val="003F4AB1"/>
    <w:rsid w:val="004126F3"/>
    <w:rsid w:val="00414C83"/>
    <w:rsid w:val="00421FFD"/>
    <w:rsid w:val="00436E35"/>
    <w:rsid w:val="00440804"/>
    <w:rsid w:val="004552EA"/>
    <w:rsid w:val="00474954"/>
    <w:rsid w:val="00494129"/>
    <w:rsid w:val="004A2239"/>
    <w:rsid w:val="004C7756"/>
    <w:rsid w:val="004D69A7"/>
    <w:rsid w:val="004D6B2E"/>
    <w:rsid w:val="004F4C2A"/>
    <w:rsid w:val="00502392"/>
    <w:rsid w:val="00503933"/>
    <w:rsid w:val="00512C16"/>
    <w:rsid w:val="00517475"/>
    <w:rsid w:val="00517A67"/>
    <w:rsid w:val="0052470C"/>
    <w:rsid w:val="0053096A"/>
    <w:rsid w:val="00531664"/>
    <w:rsid w:val="005340EC"/>
    <w:rsid w:val="00545F09"/>
    <w:rsid w:val="00562648"/>
    <w:rsid w:val="00580F65"/>
    <w:rsid w:val="00597201"/>
    <w:rsid w:val="005A3D93"/>
    <w:rsid w:val="005A6282"/>
    <w:rsid w:val="005C2BD2"/>
    <w:rsid w:val="005C50FE"/>
    <w:rsid w:val="005C7329"/>
    <w:rsid w:val="005D0472"/>
    <w:rsid w:val="005D0B1C"/>
    <w:rsid w:val="005D749B"/>
    <w:rsid w:val="005D7675"/>
    <w:rsid w:val="005E324A"/>
    <w:rsid w:val="005F32FC"/>
    <w:rsid w:val="00611B38"/>
    <w:rsid w:val="0061352A"/>
    <w:rsid w:val="00634E1E"/>
    <w:rsid w:val="00640498"/>
    <w:rsid w:val="00662B29"/>
    <w:rsid w:val="006710D9"/>
    <w:rsid w:val="006851B1"/>
    <w:rsid w:val="00685B2F"/>
    <w:rsid w:val="006A1D09"/>
    <w:rsid w:val="006A457C"/>
    <w:rsid w:val="006B1C1F"/>
    <w:rsid w:val="006B7F82"/>
    <w:rsid w:val="006C4188"/>
    <w:rsid w:val="006D27F8"/>
    <w:rsid w:val="006D33A6"/>
    <w:rsid w:val="006E3D7B"/>
    <w:rsid w:val="006F6489"/>
    <w:rsid w:val="007005F7"/>
    <w:rsid w:val="00703CD7"/>
    <w:rsid w:val="00706B29"/>
    <w:rsid w:val="00723042"/>
    <w:rsid w:val="00737FE0"/>
    <w:rsid w:val="007558DC"/>
    <w:rsid w:val="007625C6"/>
    <w:rsid w:val="00774837"/>
    <w:rsid w:val="0079329B"/>
    <w:rsid w:val="007A2DA3"/>
    <w:rsid w:val="007A707D"/>
    <w:rsid w:val="007B02A8"/>
    <w:rsid w:val="007C20E8"/>
    <w:rsid w:val="007C37B2"/>
    <w:rsid w:val="007C7222"/>
    <w:rsid w:val="007C782B"/>
    <w:rsid w:val="007F6A47"/>
    <w:rsid w:val="00800680"/>
    <w:rsid w:val="00804614"/>
    <w:rsid w:val="0081657C"/>
    <w:rsid w:val="00820A5F"/>
    <w:rsid w:val="00836C92"/>
    <w:rsid w:val="00840990"/>
    <w:rsid w:val="00840C70"/>
    <w:rsid w:val="0084655E"/>
    <w:rsid w:val="0084677F"/>
    <w:rsid w:val="008541BA"/>
    <w:rsid w:val="00876AA0"/>
    <w:rsid w:val="0088514D"/>
    <w:rsid w:val="00886DBA"/>
    <w:rsid w:val="0089129F"/>
    <w:rsid w:val="008A0499"/>
    <w:rsid w:val="008C3240"/>
    <w:rsid w:val="008D030D"/>
    <w:rsid w:val="008D6937"/>
    <w:rsid w:val="008D7000"/>
    <w:rsid w:val="008E272F"/>
    <w:rsid w:val="008F6CB5"/>
    <w:rsid w:val="00902464"/>
    <w:rsid w:val="00910357"/>
    <w:rsid w:val="00914A0A"/>
    <w:rsid w:val="00921716"/>
    <w:rsid w:val="00933FCB"/>
    <w:rsid w:val="00937BFB"/>
    <w:rsid w:val="00941AA9"/>
    <w:rsid w:val="00950BBC"/>
    <w:rsid w:val="00960447"/>
    <w:rsid w:val="00963347"/>
    <w:rsid w:val="009644E8"/>
    <w:rsid w:val="00976B91"/>
    <w:rsid w:val="00980658"/>
    <w:rsid w:val="00983F07"/>
    <w:rsid w:val="00990263"/>
    <w:rsid w:val="00991AE6"/>
    <w:rsid w:val="009B0725"/>
    <w:rsid w:val="009C0497"/>
    <w:rsid w:val="009D6FBD"/>
    <w:rsid w:val="009D7127"/>
    <w:rsid w:val="00A03A26"/>
    <w:rsid w:val="00A3402D"/>
    <w:rsid w:val="00A40A44"/>
    <w:rsid w:val="00A45119"/>
    <w:rsid w:val="00A510AD"/>
    <w:rsid w:val="00A62879"/>
    <w:rsid w:val="00A67CCA"/>
    <w:rsid w:val="00A74C3C"/>
    <w:rsid w:val="00A759F4"/>
    <w:rsid w:val="00A8784F"/>
    <w:rsid w:val="00A93C2C"/>
    <w:rsid w:val="00A93F4C"/>
    <w:rsid w:val="00A942CF"/>
    <w:rsid w:val="00A950FB"/>
    <w:rsid w:val="00A96188"/>
    <w:rsid w:val="00A97249"/>
    <w:rsid w:val="00AB270F"/>
    <w:rsid w:val="00AE4975"/>
    <w:rsid w:val="00AE6224"/>
    <w:rsid w:val="00AF4E38"/>
    <w:rsid w:val="00AF5C9A"/>
    <w:rsid w:val="00AF6A0C"/>
    <w:rsid w:val="00B05406"/>
    <w:rsid w:val="00B06657"/>
    <w:rsid w:val="00B11A8B"/>
    <w:rsid w:val="00B23861"/>
    <w:rsid w:val="00B300CB"/>
    <w:rsid w:val="00B377A5"/>
    <w:rsid w:val="00B42183"/>
    <w:rsid w:val="00B53748"/>
    <w:rsid w:val="00B62926"/>
    <w:rsid w:val="00B63153"/>
    <w:rsid w:val="00B6763E"/>
    <w:rsid w:val="00B703F0"/>
    <w:rsid w:val="00B70592"/>
    <w:rsid w:val="00B87577"/>
    <w:rsid w:val="00B91007"/>
    <w:rsid w:val="00BB6CA0"/>
    <w:rsid w:val="00BC2273"/>
    <w:rsid w:val="00BD55C9"/>
    <w:rsid w:val="00BE388D"/>
    <w:rsid w:val="00BE4272"/>
    <w:rsid w:val="00BE671A"/>
    <w:rsid w:val="00BF4E05"/>
    <w:rsid w:val="00C11DB5"/>
    <w:rsid w:val="00C2049E"/>
    <w:rsid w:val="00C331E2"/>
    <w:rsid w:val="00C531F3"/>
    <w:rsid w:val="00C60998"/>
    <w:rsid w:val="00C7117F"/>
    <w:rsid w:val="00C84F19"/>
    <w:rsid w:val="00C91C21"/>
    <w:rsid w:val="00CA1194"/>
    <w:rsid w:val="00CA6A64"/>
    <w:rsid w:val="00CB4D5B"/>
    <w:rsid w:val="00CB5C50"/>
    <w:rsid w:val="00CC1611"/>
    <w:rsid w:val="00CD24C6"/>
    <w:rsid w:val="00CE4A8F"/>
    <w:rsid w:val="00CE7441"/>
    <w:rsid w:val="00D0659B"/>
    <w:rsid w:val="00D103CD"/>
    <w:rsid w:val="00D10F35"/>
    <w:rsid w:val="00D159E4"/>
    <w:rsid w:val="00D20927"/>
    <w:rsid w:val="00D37117"/>
    <w:rsid w:val="00D4266E"/>
    <w:rsid w:val="00D45116"/>
    <w:rsid w:val="00D5729A"/>
    <w:rsid w:val="00D603A7"/>
    <w:rsid w:val="00D67348"/>
    <w:rsid w:val="00D761D4"/>
    <w:rsid w:val="00D83DBD"/>
    <w:rsid w:val="00D924A2"/>
    <w:rsid w:val="00D9540E"/>
    <w:rsid w:val="00DA1ADB"/>
    <w:rsid w:val="00DB0CB3"/>
    <w:rsid w:val="00DB2B68"/>
    <w:rsid w:val="00DB36C1"/>
    <w:rsid w:val="00DB38B8"/>
    <w:rsid w:val="00DB40AC"/>
    <w:rsid w:val="00DB7D30"/>
    <w:rsid w:val="00DD4F41"/>
    <w:rsid w:val="00DE04B2"/>
    <w:rsid w:val="00DE4A69"/>
    <w:rsid w:val="00DF027F"/>
    <w:rsid w:val="00DF1B9D"/>
    <w:rsid w:val="00DF29E9"/>
    <w:rsid w:val="00E024E7"/>
    <w:rsid w:val="00E06FFB"/>
    <w:rsid w:val="00E078AE"/>
    <w:rsid w:val="00E16032"/>
    <w:rsid w:val="00E25A22"/>
    <w:rsid w:val="00E378C5"/>
    <w:rsid w:val="00E40E76"/>
    <w:rsid w:val="00E44A34"/>
    <w:rsid w:val="00E51DC4"/>
    <w:rsid w:val="00E57ADA"/>
    <w:rsid w:val="00E66910"/>
    <w:rsid w:val="00E8366B"/>
    <w:rsid w:val="00E859FF"/>
    <w:rsid w:val="00E95410"/>
    <w:rsid w:val="00E968E5"/>
    <w:rsid w:val="00EB4E27"/>
    <w:rsid w:val="00EE0390"/>
    <w:rsid w:val="00F036DC"/>
    <w:rsid w:val="00F03D96"/>
    <w:rsid w:val="00F061AB"/>
    <w:rsid w:val="00F11297"/>
    <w:rsid w:val="00F128F5"/>
    <w:rsid w:val="00F13701"/>
    <w:rsid w:val="00F27588"/>
    <w:rsid w:val="00F317E3"/>
    <w:rsid w:val="00F34FC1"/>
    <w:rsid w:val="00F40CB5"/>
    <w:rsid w:val="00F46D9F"/>
    <w:rsid w:val="00F46DC5"/>
    <w:rsid w:val="00F623F1"/>
    <w:rsid w:val="00F736E8"/>
    <w:rsid w:val="00F90DE5"/>
    <w:rsid w:val="00F90FCB"/>
    <w:rsid w:val="00F976F8"/>
    <w:rsid w:val="00FB3A90"/>
    <w:rsid w:val="00FB6A28"/>
    <w:rsid w:val="00FF5405"/>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122237912">
      <w:bodyDiv w:val="1"/>
      <w:marLeft w:val="0"/>
      <w:marRight w:val="0"/>
      <w:marTop w:val="0"/>
      <w:marBottom w:val="0"/>
      <w:divBdr>
        <w:top w:val="none" w:sz="0" w:space="0" w:color="auto"/>
        <w:left w:val="none" w:sz="0" w:space="0" w:color="auto"/>
        <w:bottom w:val="none" w:sz="0" w:space="0" w:color="auto"/>
        <w:right w:val="none" w:sz="0" w:space="0" w:color="auto"/>
      </w:divBdr>
      <w:divsChild>
        <w:div w:id="1345084890">
          <w:marLeft w:val="0"/>
          <w:marRight w:val="0"/>
          <w:marTop w:val="0"/>
          <w:marBottom w:val="0"/>
          <w:divBdr>
            <w:top w:val="none" w:sz="0" w:space="0" w:color="auto"/>
            <w:left w:val="none" w:sz="0" w:space="0" w:color="auto"/>
            <w:bottom w:val="none" w:sz="0" w:space="0" w:color="auto"/>
            <w:right w:val="none" w:sz="0" w:space="0" w:color="auto"/>
          </w:divBdr>
          <w:divsChild>
            <w:div w:id="926033247">
              <w:marLeft w:val="0"/>
              <w:marRight w:val="0"/>
              <w:marTop w:val="0"/>
              <w:marBottom w:val="0"/>
              <w:divBdr>
                <w:top w:val="none" w:sz="0" w:space="0" w:color="auto"/>
                <w:left w:val="none" w:sz="0" w:space="0" w:color="auto"/>
                <w:bottom w:val="none" w:sz="0" w:space="0" w:color="auto"/>
                <w:right w:val="none" w:sz="0" w:space="0" w:color="auto"/>
              </w:divBdr>
              <w:divsChild>
                <w:div w:id="1104304699">
                  <w:marLeft w:val="0"/>
                  <w:marRight w:val="0"/>
                  <w:marTop w:val="0"/>
                  <w:marBottom w:val="0"/>
                  <w:divBdr>
                    <w:top w:val="none" w:sz="0" w:space="0" w:color="auto"/>
                    <w:left w:val="none" w:sz="0" w:space="0" w:color="auto"/>
                    <w:bottom w:val="none" w:sz="0" w:space="0" w:color="auto"/>
                    <w:right w:val="none" w:sz="0" w:space="0" w:color="auto"/>
                  </w:divBdr>
                  <w:divsChild>
                    <w:div w:id="12254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8227">
      <w:bodyDiv w:val="1"/>
      <w:marLeft w:val="0"/>
      <w:marRight w:val="0"/>
      <w:marTop w:val="0"/>
      <w:marBottom w:val="0"/>
      <w:divBdr>
        <w:top w:val="none" w:sz="0" w:space="0" w:color="auto"/>
        <w:left w:val="none" w:sz="0" w:space="0" w:color="auto"/>
        <w:bottom w:val="none" w:sz="0" w:space="0" w:color="auto"/>
        <w:right w:val="none" w:sz="0" w:space="0" w:color="auto"/>
      </w:divBdr>
    </w:div>
    <w:div w:id="158816612">
      <w:bodyDiv w:val="1"/>
      <w:marLeft w:val="0"/>
      <w:marRight w:val="0"/>
      <w:marTop w:val="0"/>
      <w:marBottom w:val="0"/>
      <w:divBdr>
        <w:top w:val="none" w:sz="0" w:space="0" w:color="auto"/>
        <w:left w:val="none" w:sz="0" w:space="0" w:color="auto"/>
        <w:bottom w:val="none" w:sz="0" w:space="0" w:color="auto"/>
        <w:right w:val="none" w:sz="0" w:space="0" w:color="auto"/>
      </w:divBdr>
      <w:divsChild>
        <w:div w:id="1458722281">
          <w:marLeft w:val="0"/>
          <w:marRight w:val="0"/>
          <w:marTop w:val="0"/>
          <w:marBottom w:val="160"/>
          <w:divBdr>
            <w:top w:val="none" w:sz="0" w:space="0" w:color="auto"/>
            <w:left w:val="none" w:sz="0" w:space="0" w:color="auto"/>
            <w:bottom w:val="none" w:sz="0" w:space="0" w:color="auto"/>
            <w:right w:val="none" w:sz="0" w:space="0" w:color="auto"/>
          </w:divBdr>
        </w:div>
        <w:div w:id="1559782400">
          <w:marLeft w:val="0"/>
          <w:marRight w:val="0"/>
          <w:marTop w:val="0"/>
          <w:marBottom w:val="0"/>
          <w:divBdr>
            <w:top w:val="none" w:sz="0" w:space="0" w:color="auto"/>
            <w:left w:val="none" w:sz="0" w:space="0" w:color="auto"/>
            <w:bottom w:val="none" w:sz="0" w:space="0" w:color="auto"/>
            <w:right w:val="none" w:sz="0" w:space="0" w:color="auto"/>
          </w:divBdr>
          <w:divsChild>
            <w:div w:id="303387376">
              <w:marLeft w:val="0"/>
              <w:marRight w:val="0"/>
              <w:marTop w:val="0"/>
              <w:marBottom w:val="0"/>
              <w:divBdr>
                <w:top w:val="none" w:sz="0" w:space="0" w:color="auto"/>
                <w:left w:val="none" w:sz="0" w:space="0" w:color="auto"/>
                <w:bottom w:val="none" w:sz="0" w:space="0" w:color="auto"/>
                <w:right w:val="none" w:sz="0" w:space="0" w:color="auto"/>
              </w:divBdr>
              <w:divsChild>
                <w:div w:id="110590278">
                  <w:marLeft w:val="0"/>
                  <w:marRight w:val="0"/>
                  <w:marTop w:val="0"/>
                  <w:marBottom w:val="0"/>
                  <w:divBdr>
                    <w:top w:val="none" w:sz="0" w:space="0" w:color="auto"/>
                    <w:left w:val="none" w:sz="0" w:space="0" w:color="auto"/>
                    <w:bottom w:val="none" w:sz="0" w:space="0" w:color="auto"/>
                    <w:right w:val="none" w:sz="0" w:space="0" w:color="auto"/>
                  </w:divBdr>
                  <w:divsChild>
                    <w:div w:id="18258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788888946">
      <w:bodyDiv w:val="1"/>
      <w:marLeft w:val="0"/>
      <w:marRight w:val="0"/>
      <w:marTop w:val="0"/>
      <w:marBottom w:val="0"/>
      <w:divBdr>
        <w:top w:val="none" w:sz="0" w:space="0" w:color="auto"/>
        <w:left w:val="none" w:sz="0" w:space="0" w:color="auto"/>
        <w:bottom w:val="none" w:sz="0" w:space="0" w:color="auto"/>
        <w:right w:val="none" w:sz="0" w:space="0" w:color="auto"/>
      </w:divBdr>
      <w:divsChild>
        <w:div w:id="1728645155">
          <w:marLeft w:val="0"/>
          <w:marRight w:val="0"/>
          <w:marTop w:val="0"/>
          <w:marBottom w:val="0"/>
          <w:divBdr>
            <w:top w:val="none" w:sz="0" w:space="0" w:color="auto"/>
            <w:left w:val="none" w:sz="0" w:space="0" w:color="auto"/>
            <w:bottom w:val="none" w:sz="0" w:space="0" w:color="auto"/>
            <w:right w:val="none" w:sz="0" w:space="0" w:color="auto"/>
          </w:divBdr>
          <w:divsChild>
            <w:div w:id="16717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930819457">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302880300">
      <w:bodyDiv w:val="1"/>
      <w:marLeft w:val="0"/>
      <w:marRight w:val="0"/>
      <w:marTop w:val="0"/>
      <w:marBottom w:val="0"/>
      <w:divBdr>
        <w:top w:val="none" w:sz="0" w:space="0" w:color="auto"/>
        <w:left w:val="none" w:sz="0" w:space="0" w:color="auto"/>
        <w:bottom w:val="none" w:sz="0" w:space="0" w:color="auto"/>
        <w:right w:val="none" w:sz="0" w:space="0" w:color="auto"/>
      </w:divBdr>
    </w:div>
    <w:div w:id="1508212289">
      <w:bodyDiv w:val="1"/>
      <w:marLeft w:val="0"/>
      <w:marRight w:val="0"/>
      <w:marTop w:val="0"/>
      <w:marBottom w:val="0"/>
      <w:divBdr>
        <w:top w:val="none" w:sz="0" w:space="0" w:color="auto"/>
        <w:left w:val="none" w:sz="0" w:space="0" w:color="auto"/>
        <w:bottom w:val="none" w:sz="0" w:space="0" w:color="auto"/>
        <w:right w:val="none" w:sz="0" w:space="0" w:color="auto"/>
      </w:divBdr>
      <w:divsChild>
        <w:div w:id="1008680791">
          <w:marLeft w:val="0"/>
          <w:marRight w:val="0"/>
          <w:marTop w:val="0"/>
          <w:marBottom w:val="0"/>
          <w:divBdr>
            <w:top w:val="none" w:sz="0" w:space="0" w:color="auto"/>
            <w:left w:val="none" w:sz="0" w:space="0" w:color="auto"/>
            <w:bottom w:val="none" w:sz="0" w:space="0" w:color="auto"/>
            <w:right w:val="none" w:sz="0" w:space="0" w:color="auto"/>
          </w:divBdr>
        </w:div>
        <w:div w:id="16394581">
          <w:marLeft w:val="0"/>
          <w:marRight w:val="0"/>
          <w:marTop w:val="0"/>
          <w:marBottom w:val="0"/>
          <w:divBdr>
            <w:top w:val="none" w:sz="0" w:space="0" w:color="auto"/>
            <w:left w:val="none" w:sz="0" w:space="0" w:color="auto"/>
            <w:bottom w:val="none" w:sz="0" w:space="0" w:color="auto"/>
            <w:right w:val="none" w:sz="0" w:space="0" w:color="auto"/>
          </w:divBdr>
        </w:div>
        <w:div w:id="706418963">
          <w:marLeft w:val="0"/>
          <w:marRight w:val="0"/>
          <w:marTop w:val="0"/>
          <w:marBottom w:val="0"/>
          <w:divBdr>
            <w:top w:val="none" w:sz="0" w:space="0" w:color="auto"/>
            <w:left w:val="none" w:sz="0" w:space="0" w:color="auto"/>
            <w:bottom w:val="none" w:sz="0" w:space="0" w:color="auto"/>
            <w:right w:val="none" w:sz="0" w:space="0" w:color="auto"/>
          </w:divBdr>
        </w:div>
        <w:div w:id="1853640101">
          <w:marLeft w:val="0"/>
          <w:marRight w:val="0"/>
          <w:marTop w:val="0"/>
          <w:marBottom w:val="0"/>
          <w:divBdr>
            <w:top w:val="none" w:sz="0" w:space="0" w:color="auto"/>
            <w:left w:val="none" w:sz="0" w:space="0" w:color="auto"/>
            <w:bottom w:val="none" w:sz="0" w:space="0" w:color="auto"/>
            <w:right w:val="none" w:sz="0" w:space="0" w:color="auto"/>
          </w:divBdr>
        </w:div>
        <w:div w:id="1463117556">
          <w:marLeft w:val="0"/>
          <w:marRight w:val="0"/>
          <w:marTop w:val="0"/>
          <w:marBottom w:val="0"/>
          <w:divBdr>
            <w:top w:val="none" w:sz="0" w:space="0" w:color="auto"/>
            <w:left w:val="none" w:sz="0" w:space="0" w:color="auto"/>
            <w:bottom w:val="none" w:sz="0" w:space="0" w:color="auto"/>
            <w:right w:val="none" w:sz="0" w:space="0" w:color="auto"/>
          </w:divBdr>
        </w:div>
        <w:div w:id="888300273">
          <w:marLeft w:val="0"/>
          <w:marRight w:val="0"/>
          <w:marTop w:val="0"/>
          <w:marBottom w:val="0"/>
          <w:divBdr>
            <w:top w:val="none" w:sz="0" w:space="0" w:color="auto"/>
            <w:left w:val="none" w:sz="0" w:space="0" w:color="auto"/>
            <w:bottom w:val="none" w:sz="0" w:space="0" w:color="auto"/>
            <w:right w:val="none" w:sz="0" w:space="0" w:color="auto"/>
          </w:divBdr>
        </w:div>
        <w:div w:id="1873881922">
          <w:marLeft w:val="0"/>
          <w:marRight w:val="0"/>
          <w:marTop w:val="0"/>
          <w:marBottom w:val="0"/>
          <w:divBdr>
            <w:top w:val="none" w:sz="0" w:space="0" w:color="auto"/>
            <w:left w:val="none" w:sz="0" w:space="0" w:color="auto"/>
            <w:bottom w:val="none" w:sz="0" w:space="0" w:color="auto"/>
            <w:right w:val="none" w:sz="0" w:space="0" w:color="auto"/>
          </w:divBdr>
        </w:div>
        <w:div w:id="442924749">
          <w:marLeft w:val="0"/>
          <w:marRight w:val="0"/>
          <w:marTop w:val="0"/>
          <w:marBottom w:val="0"/>
          <w:divBdr>
            <w:top w:val="none" w:sz="0" w:space="0" w:color="auto"/>
            <w:left w:val="none" w:sz="0" w:space="0" w:color="auto"/>
            <w:bottom w:val="none" w:sz="0" w:space="0" w:color="auto"/>
            <w:right w:val="none" w:sz="0" w:space="0" w:color="auto"/>
          </w:divBdr>
        </w:div>
        <w:div w:id="577247976">
          <w:marLeft w:val="0"/>
          <w:marRight w:val="0"/>
          <w:marTop w:val="0"/>
          <w:marBottom w:val="0"/>
          <w:divBdr>
            <w:top w:val="none" w:sz="0" w:space="0" w:color="auto"/>
            <w:left w:val="none" w:sz="0" w:space="0" w:color="auto"/>
            <w:bottom w:val="none" w:sz="0" w:space="0" w:color="auto"/>
            <w:right w:val="none" w:sz="0" w:space="0" w:color="auto"/>
          </w:divBdr>
        </w:div>
        <w:div w:id="1188563114">
          <w:marLeft w:val="0"/>
          <w:marRight w:val="0"/>
          <w:marTop w:val="0"/>
          <w:marBottom w:val="0"/>
          <w:divBdr>
            <w:top w:val="none" w:sz="0" w:space="0" w:color="auto"/>
            <w:left w:val="none" w:sz="0" w:space="0" w:color="auto"/>
            <w:bottom w:val="none" w:sz="0" w:space="0" w:color="auto"/>
            <w:right w:val="none" w:sz="0" w:space="0" w:color="auto"/>
          </w:divBdr>
        </w:div>
        <w:div w:id="1639611179">
          <w:marLeft w:val="0"/>
          <w:marRight w:val="0"/>
          <w:marTop w:val="0"/>
          <w:marBottom w:val="0"/>
          <w:divBdr>
            <w:top w:val="none" w:sz="0" w:space="0" w:color="auto"/>
            <w:left w:val="none" w:sz="0" w:space="0" w:color="auto"/>
            <w:bottom w:val="none" w:sz="0" w:space="0" w:color="auto"/>
            <w:right w:val="none" w:sz="0" w:space="0" w:color="auto"/>
          </w:divBdr>
        </w:div>
        <w:div w:id="1338507789">
          <w:marLeft w:val="0"/>
          <w:marRight w:val="0"/>
          <w:marTop w:val="0"/>
          <w:marBottom w:val="0"/>
          <w:divBdr>
            <w:top w:val="none" w:sz="0" w:space="0" w:color="auto"/>
            <w:left w:val="none" w:sz="0" w:space="0" w:color="auto"/>
            <w:bottom w:val="none" w:sz="0" w:space="0" w:color="auto"/>
            <w:right w:val="none" w:sz="0" w:space="0" w:color="auto"/>
          </w:divBdr>
        </w:div>
      </w:divsChild>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5546">
      <w:bodyDiv w:val="1"/>
      <w:marLeft w:val="0"/>
      <w:marRight w:val="0"/>
      <w:marTop w:val="0"/>
      <w:marBottom w:val="0"/>
      <w:divBdr>
        <w:top w:val="none" w:sz="0" w:space="0" w:color="auto"/>
        <w:left w:val="none" w:sz="0" w:space="0" w:color="auto"/>
        <w:bottom w:val="none" w:sz="0" w:space="0" w:color="auto"/>
        <w:right w:val="none" w:sz="0" w:space="0" w:color="auto"/>
      </w:divBdr>
      <w:divsChild>
        <w:div w:id="1948610016">
          <w:marLeft w:val="0"/>
          <w:marRight w:val="0"/>
          <w:marTop w:val="0"/>
          <w:marBottom w:val="0"/>
          <w:divBdr>
            <w:top w:val="none" w:sz="0" w:space="0" w:color="auto"/>
            <w:left w:val="none" w:sz="0" w:space="0" w:color="auto"/>
            <w:bottom w:val="none" w:sz="0" w:space="0" w:color="auto"/>
            <w:right w:val="none" w:sz="0" w:space="0" w:color="auto"/>
          </w:divBdr>
        </w:div>
        <w:div w:id="1634673196">
          <w:marLeft w:val="0"/>
          <w:marRight w:val="0"/>
          <w:marTop w:val="0"/>
          <w:marBottom w:val="0"/>
          <w:divBdr>
            <w:top w:val="none" w:sz="0" w:space="0" w:color="auto"/>
            <w:left w:val="none" w:sz="0" w:space="0" w:color="auto"/>
            <w:bottom w:val="none" w:sz="0" w:space="0" w:color="auto"/>
            <w:right w:val="none" w:sz="0" w:space="0" w:color="auto"/>
          </w:divBdr>
        </w:div>
        <w:div w:id="16779738">
          <w:marLeft w:val="0"/>
          <w:marRight w:val="0"/>
          <w:marTop w:val="0"/>
          <w:marBottom w:val="0"/>
          <w:divBdr>
            <w:top w:val="none" w:sz="0" w:space="0" w:color="auto"/>
            <w:left w:val="none" w:sz="0" w:space="0" w:color="auto"/>
            <w:bottom w:val="none" w:sz="0" w:space="0" w:color="auto"/>
            <w:right w:val="none" w:sz="0" w:space="0" w:color="auto"/>
          </w:divBdr>
        </w:div>
        <w:div w:id="174852752">
          <w:marLeft w:val="0"/>
          <w:marRight w:val="0"/>
          <w:marTop w:val="0"/>
          <w:marBottom w:val="0"/>
          <w:divBdr>
            <w:top w:val="none" w:sz="0" w:space="0" w:color="auto"/>
            <w:left w:val="none" w:sz="0" w:space="0" w:color="auto"/>
            <w:bottom w:val="none" w:sz="0" w:space="0" w:color="auto"/>
            <w:right w:val="none" w:sz="0" w:space="0" w:color="auto"/>
          </w:divBdr>
        </w:div>
        <w:div w:id="1111239784">
          <w:marLeft w:val="0"/>
          <w:marRight w:val="0"/>
          <w:marTop w:val="0"/>
          <w:marBottom w:val="0"/>
          <w:divBdr>
            <w:top w:val="none" w:sz="0" w:space="0" w:color="auto"/>
            <w:left w:val="none" w:sz="0" w:space="0" w:color="auto"/>
            <w:bottom w:val="none" w:sz="0" w:space="0" w:color="auto"/>
            <w:right w:val="none" w:sz="0" w:space="0" w:color="auto"/>
          </w:divBdr>
        </w:div>
        <w:div w:id="868181247">
          <w:marLeft w:val="0"/>
          <w:marRight w:val="0"/>
          <w:marTop w:val="0"/>
          <w:marBottom w:val="0"/>
          <w:divBdr>
            <w:top w:val="none" w:sz="0" w:space="0" w:color="auto"/>
            <w:left w:val="none" w:sz="0" w:space="0" w:color="auto"/>
            <w:bottom w:val="none" w:sz="0" w:space="0" w:color="auto"/>
            <w:right w:val="none" w:sz="0" w:space="0" w:color="auto"/>
          </w:divBdr>
        </w:div>
        <w:div w:id="762262617">
          <w:marLeft w:val="0"/>
          <w:marRight w:val="0"/>
          <w:marTop w:val="0"/>
          <w:marBottom w:val="0"/>
          <w:divBdr>
            <w:top w:val="none" w:sz="0" w:space="0" w:color="auto"/>
            <w:left w:val="none" w:sz="0" w:space="0" w:color="auto"/>
            <w:bottom w:val="none" w:sz="0" w:space="0" w:color="auto"/>
            <w:right w:val="none" w:sz="0" w:space="0" w:color="auto"/>
          </w:divBdr>
          <w:divsChild>
            <w:div w:id="809638571">
              <w:marLeft w:val="0"/>
              <w:marRight w:val="0"/>
              <w:marTop w:val="0"/>
              <w:marBottom w:val="0"/>
              <w:divBdr>
                <w:top w:val="none" w:sz="0" w:space="0" w:color="auto"/>
                <w:left w:val="none" w:sz="0" w:space="0" w:color="auto"/>
                <w:bottom w:val="none" w:sz="0" w:space="0" w:color="auto"/>
                <w:right w:val="none" w:sz="0" w:space="0" w:color="auto"/>
              </w:divBdr>
              <w:divsChild>
                <w:div w:id="594094064">
                  <w:marLeft w:val="0"/>
                  <w:marRight w:val="0"/>
                  <w:marTop w:val="0"/>
                  <w:marBottom w:val="0"/>
                  <w:divBdr>
                    <w:top w:val="none" w:sz="0" w:space="0" w:color="auto"/>
                    <w:left w:val="none" w:sz="0" w:space="0" w:color="auto"/>
                    <w:bottom w:val="none" w:sz="0" w:space="0" w:color="auto"/>
                    <w:right w:val="none" w:sz="0" w:space="0" w:color="auto"/>
                  </w:divBdr>
                  <w:divsChild>
                    <w:div w:id="10353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8620">
      <w:bodyDiv w:val="1"/>
      <w:marLeft w:val="0"/>
      <w:marRight w:val="0"/>
      <w:marTop w:val="0"/>
      <w:marBottom w:val="0"/>
      <w:divBdr>
        <w:top w:val="none" w:sz="0" w:space="0" w:color="auto"/>
        <w:left w:val="none" w:sz="0" w:space="0" w:color="auto"/>
        <w:bottom w:val="none" w:sz="0" w:space="0" w:color="auto"/>
        <w:right w:val="none" w:sz="0" w:space="0" w:color="auto"/>
      </w:divBdr>
      <w:divsChild>
        <w:div w:id="449130939">
          <w:marLeft w:val="0"/>
          <w:marRight w:val="0"/>
          <w:marTop w:val="0"/>
          <w:marBottom w:val="0"/>
          <w:divBdr>
            <w:top w:val="none" w:sz="0" w:space="0" w:color="auto"/>
            <w:left w:val="none" w:sz="0" w:space="0" w:color="auto"/>
            <w:bottom w:val="none" w:sz="0" w:space="0" w:color="auto"/>
            <w:right w:val="none" w:sz="0" w:space="0" w:color="auto"/>
          </w:divBdr>
          <w:divsChild>
            <w:div w:id="1939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10202168">
      <w:bodyDiv w:val="1"/>
      <w:marLeft w:val="0"/>
      <w:marRight w:val="0"/>
      <w:marTop w:val="0"/>
      <w:marBottom w:val="0"/>
      <w:divBdr>
        <w:top w:val="none" w:sz="0" w:space="0" w:color="auto"/>
        <w:left w:val="none" w:sz="0" w:space="0" w:color="auto"/>
        <w:bottom w:val="none" w:sz="0" w:space="0" w:color="auto"/>
        <w:right w:val="none" w:sz="0" w:space="0" w:color="auto"/>
      </w:divBdr>
      <w:divsChild>
        <w:div w:id="870604626">
          <w:marLeft w:val="0"/>
          <w:marRight w:val="0"/>
          <w:marTop w:val="0"/>
          <w:marBottom w:val="0"/>
          <w:divBdr>
            <w:top w:val="none" w:sz="0" w:space="0" w:color="auto"/>
            <w:left w:val="none" w:sz="0" w:space="0" w:color="auto"/>
            <w:bottom w:val="none" w:sz="0" w:space="0" w:color="auto"/>
            <w:right w:val="none" w:sz="0" w:space="0" w:color="auto"/>
          </w:divBdr>
          <w:divsChild>
            <w:div w:id="743987107">
              <w:marLeft w:val="0"/>
              <w:marRight w:val="0"/>
              <w:marTop w:val="0"/>
              <w:marBottom w:val="0"/>
              <w:divBdr>
                <w:top w:val="none" w:sz="0" w:space="0" w:color="auto"/>
                <w:left w:val="none" w:sz="0" w:space="0" w:color="auto"/>
                <w:bottom w:val="none" w:sz="0" w:space="0" w:color="auto"/>
                <w:right w:val="none" w:sz="0" w:space="0" w:color="auto"/>
              </w:divBdr>
              <w:divsChild>
                <w:div w:id="1618681902">
                  <w:marLeft w:val="0"/>
                  <w:marRight w:val="0"/>
                  <w:marTop w:val="0"/>
                  <w:marBottom w:val="0"/>
                  <w:divBdr>
                    <w:top w:val="none" w:sz="0" w:space="0" w:color="auto"/>
                    <w:left w:val="none" w:sz="0" w:space="0" w:color="auto"/>
                    <w:bottom w:val="none" w:sz="0" w:space="0" w:color="auto"/>
                    <w:right w:val="none" w:sz="0" w:space="0" w:color="auto"/>
                  </w:divBdr>
                </w:div>
                <w:div w:id="686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EF8A3-BE29-4066-A3BD-3E8F7E75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1024</Words>
  <Characters>5843</Characters>
  <Application>Microsoft Office Word</Application>
  <DocSecurity>0</DocSecurity>
  <Lines>48</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cp:lastPrinted>2021-05-04T08:35:00Z</cp:lastPrinted>
  <dcterms:created xsi:type="dcterms:W3CDTF">2021-07-30T08:26:00Z</dcterms:created>
  <dcterms:modified xsi:type="dcterms:W3CDTF">2021-07-30T08:26:00Z</dcterms:modified>
</cp:coreProperties>
</file>