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116" w:rsidRDefault="00A971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A97116" w:rsidRDefault="00C3322F">
      <w:pPr>
        <w:shd w:val="clear" w:color="auto" w:fill="FFFFFF"/>
        <w:jc w:val="center"/>
        <w:rPr>
          <w:rFonts w:ascii="Times New Roman" w:hAnsi="Times New Roman"/>
          <w:color w:val="201F1E"/>
          <w:sz w:val="20"/>
          <w:szCs w:val="20"/>
        </w:rPr>
      </w:pPr>
      <w:r>
        <w:rPr>
          <w:b/>
          <w:color w:val="000000"/>
          <w:sz w:val="32"/>
          <w:szCs w:val="32"/>
        </w:rPr>
        <w:t xml:space="preserve">UNIVERSITÀ DEGLI STUDI </w:t>
      </w:r>
      <w:proofErr w:type="spellStart"/>
      <w:r>
        <w:rPr>
          <w:b/>
          <w:color w:val="000000"/>
          <w:sz w:val="32"/>
          <w:szCs w:val="32"/>
        </w:rPr>
        <w:t>DI</w:t>
      </w:r>
      <w:proofErr w:type="spellEnd"/>
      <w:r>
        <w:rPr>
          <w:b/>
          <w:color w:val="000000"/>
          <w:sz w:val="32"/>
          <w:szCs w:val="32"/>
        </w:rPr>
        <w:t xml:space="preserve"> PERUGIA </w:t>
      </w:r>
      <w:r>
        <w:rPr>
          <w:rFonts w:ascii="inherit" w:eastAsia="inherit" w:hAnsi="inherit" w:cs="inherit"/>
          <w:b/>
          <w:color w:val="000000"/>
          <w:sz w:val="20"/>
          <w:szCs w:val="20"/>
        </w:rPr>
        <w:t> </w:t>
      </w:r>
      <w:r>
        <w:rPr>
          <w:rFonts w:ascii="Times New Roman" w:hAnsi="Times New Roman"/>
          <w:color w:val="201F1E"/>
          <w:sz w:val="20"/>
          <w:szCs w:val="20"/>
        </w:rPr>
        <w:t> </w:t>
      </w:r>
    </w:p>
    <w:p w:rsidR="00A97116" w:rsidRDefault="00A97116">
      <w:pPr>
        <w:shd w:val="clear" w:color="auto" w:fill="FFFFFF"/>
        <w:jc w:val="center"/>
        <w:rPr>
          <w:b/>
          <w:color w:val="201F1E"/>
          <w:sz w:val="20"/>
          <w:szCs w:val="20"/>
        </w:rPr>
      </w:pPr>
    </w:p>
    <w:p w:rsidR="00A97116" w:rsidRDefault="00A97116">
      <w:pPr>
        <w:jc w:val="center"/>
        <w:rPr>
          <w:b/>
          <w:sz w:val="20"/>
          <w:szCs w:val="20"/>
        </w:rPr>
      </w:pPr>
    </w:p>
    <w:p w:rsidR="00A97116" w:rsidRDefault="00A97116">
      <w:pPr>
        <w:jc w:val="center"/>
        <w:rPr>
          <w:b/>
          <w:color w:val="000000"/>
          <w:sz w:val="20"/>
          <w:szCs w:val="20"/>
          <w:highlight w:val="white"/>
        </w:rPr>
      </w:pPr>
    </w:p>
    <w:p w:rsidR="00A97116" w:rsidRDefault="00C3322F">
      <w:pPr>
        <w:jc w:val="center"/>
        <w:rPr>
          <w:b/>
          <w:color w:val="000000"/>
          <w:sz w:val="20"/>
          <w:szCs w:val="20"/>
          <w:highlight w:val="white"/>
        </w:rPr>
      </w:pPr>
      <w:r>
        <w:rPr>
          <w:b/>
          <w:color w:val="000000"/>
          <w:sz w:val="20"/>
          <w:szCs w:val="20"/>
          <w:highlight w:val="white"/>
        </w:rPr>
        <w:t>La musica di Vivaldi e l'origine della vita sulla Terra nel terzo appuntamento con “Il suono della ricerca”,</w:t>
      </w:r>
      <w:r>
        <w:rPr>
          <w:b/>
          <w:color w:val="201F1E"/>
          <w:sz w:val="20"/>
          <w:szCs w:val="20"/>
        </w:rPr>
        <w:t xml:space="preserve"> rassegna promossa dall’Ateneo perugino in collaborazione con l'Orchestra da Camera di Perugia </w:t>
      </w:r>
      <w:r>
        <w:rPr>
          <w:b/>
          <w:color w:val="000000"/>
          <w:sz w:val="20"/>
          <w:szCs w:val="20"/>
          <w:highlight w:val="white"/>
        </w:rPr>
        <w:t xml:space="preserve">- </w:t>
      </w:r>
      <w:r>
        <w:rPr>
          <w:b/>
          <w:color w:val="201F1E"/>
          <w:sz w:val="20"/>
          <w:szCs w:val="20"/>
        </w:rPr>
        <w:t>giovedì 29 luglio, ore 19, Orto Medievale</w:t>
      </w:r>
    </w:p>
    <w:p w:rsidR="00A97116" w:rsidRDefault="00A97116">
      <w:pPr>
        <w:jc w:val="center"/>
        <w:rPr>
          <w:b/>
          <w:color w:val="000000"/>
          <w:sz w:val="20"/>
          <w:szCs w:val="20"/>
          <w:highlight w:val="white"/>
        </w:rPr>
      </w:pPr>
    </w:p>
    <w:p w:rsidR="00A97116" w:rsidRDefault="00C3322F">
      <w:pPr>
        <w:shd w:val="clear" w:color="auto" w:fill="FFFFFF"/>
        <w:rPr>
          <w:color w:val="201F1E"/>
          <w:sz w:val="20"/>
          <w:szCs w:val="20"/>
        </w:rPr>
      </w:pPr>
      <w:r>
        <w:rPr>
          <w:color w:val="201F1E"/>
          <w:sz w:val="20"/>
          <w:szCs w:val="20"/>
        </w:rPr>
        <w:br/>
        <w:t>È la Terra la protagonista del terzo appuntamento con </w:t>
      </w:r>
      <w:r>
        <w:rPr>
          <w:b/>
          <w:color w:val="201F1E"/>
          <w:sz w:val="20"/>
          <w:szCs w:val="20"/>
        </w:rPr>
        <w:t>“Il suono della ricerca”</w:t>
      </w:r>
      <w:r>
        <w:rPr>
          <w:color w:val="201F1E"/>
          <w:sz w:val="20"/>
          <w:szCs w:val="20"/>
        </w:rPr>
        <w:t>, </w:t>
      </w:r>
      <w:r>
        <w:rPr>
          <w:b/>
          <w:color w:val="201F1E"/>
          <w:sz w:val="20"/>
          <w:szCs w:val="20"/>
        </w:rPr>
        <w:t>giovedì 29 luglio 2021, alle ore 19,</w:t>
      </w:r>
      <w:r>
        <w:rPr>
          <w:color w:val="201F1E"/>
          <w:sz w:val="20"/>
          <w:szCs w:val="20"/>
        </w:rPr>
        <w:t xml:space="preserve"> a </w:t>
      </w:r>
      <w:r>
        <w:rPr>
          <w:b/>
          <w:color w:val="201F1E"/>
          <w:sz w:val="20"/>
          <w:szCs w:val="20"/>
        </w:rPr>
        <w:t>Perugia</w:t>
      </w:r>
      <w:r>
        <w:rPr>
          <w:color w:val="201F1E"/>
          <w:sz w:val="20"/>
          <w:szCs w:val="20"/>
        </w:rPr>
        <w:t>, all'</w:t>
      </w:r>
      <w:r>
        <w:rPr>
          <w:b/>
          <w:color w:val="201F1E"/>
          <w:sz w:val="20"/>
          <w:szCs w:val="20"/>
        </w:rPr>
        <w:t>Orto Medievale</w:t>
      </w:r>
      <w:r>
        <w:rPr>
          <w:color w:val="201F1E"/>
          <w:sz w:val="20"/>
          <w:szCs w:val="20"/>
        </w:rPr>
        <w:t xml:space="preserve"> del Centro di Ateneo per i Musei Scientifici (CAMS), in Borgo XX </w:t>
      </w:r>
      <w:r>
        <w:rPr>
          <w:color w:val="201F1E"/>
          <w:sz w:val="20"/>
          <w:szCs w:val="20"/>
        </w:rPr>
        <w:t xml:space="preserve">Giugno. </w:t>
      </w:r>
    </w:p>
    <w:p w:rsidR="00A97116" w:rsidRDefault="00A97116">
      <w:pPr>
        <w:shd w:val="clear" w:color="auto" w:fill="FFFFFF"/>
        <w:rPr>
          <w:color w:val="201F1E"/>
          <w:sz w:val="20"/>
          <w:szCs w:val="20"/>
        </w:rPr>
      </w:pPr>
    </w:p>
    <w:p w:rsidR="00A97116" w:rsidRDefault="00C3322F">
      <w:pPr>
        <w:shd w:val="clear" w:color="auto" w:fill="FFFFFF"/>
        <w:rPr>
          <w:color w:val="201F1E"/>
          <w:sz w:val="20"/>
          <w:szCs w:val="20"/>
        </w:rPr>
      </w:pPr>
      <w:r>
        <w:rPr>
          <w:color w:val="201F1E"/>
          <w:sz w:val="20"/>
          <w:szCs w:val="20"/>
        </w:rPr>
        <w:t>Dopo le serate dedicate ad Acqua e Fuoco, la rassegna promossa dall'</w:t>
      </w:r>
      <w:r>
        <w:rPr>
          <w:b/>
          <w:color w:val="201F1E"/>
          <w:sz w:val="20"/>
          <w:szCs w:val="20"/>
        </w:rPr>
        <w:t>Università degli Studi di Perugia</w:t>
      </w:r>
      <w:r>
        <w:rPr>
          <w:color w:val="201F1E"/>
          <w:sz w:val="20"/>
          <w:szCs w:val="20"/>
        </w:rPr>
        <w:t> in collaborazione con l'</w:t>
      </w:r>
      <w:r>
        <w:rPr>
          <w:b/>
          <w:color w:val="201F1E"/>
          <w:sz w:val="20"/>
          <w:szCs w:val="20"/>
        </w:rPr>
        <w:t>Orchestra da Camera di Perugia </w:t>
      </w:r>
      <w:r>
        <w:rPr>
          <w:color w:val="201F1E"/>
          <w:sz w:val="20"/>
          <w:szCs w:val="20"/>
        </w:rPr>
        <w:t>prosegue il suo viaggio tra gli elementi, tra musica e scienza, con il concerto dell'Orch</w:t>
      </w:r>
      <w:r>
        <w:rPr>
          <w:color w:val="201F1E"/>
          <w:sz w:val="20"/>
          <w:szCs w:val="20"/>
        </w:rPr>
        <w:t xml:space="preserve">estra da Camera di Perugia che – solisti </w:t>
      </w:r>
      <w:proofErr w:type="spellStart"/>
      <w:r>
        <w:rPr>
          <w:color w:val="201F1E"/>
          <w:sz w:val="20"/>
          <w:szCs w:val="20"/>
        </w:rPr>
        <w:t>Azusa</w:t>
      </w:r>
      <w:proofErr w:type="spellEnd"/>
      <w:r>
        <w:rPr>
          <w:color w:val="201F1E"/>
          <w:sz w:val="20"/>
          <w:szCs w:val="20"/>
        </w:rPr>
        <w:t> </w:t>
      </w:r>
      <w:proofErr w:type="spellStart"/>
      <w:r>
        <w:rPr>
          <w:color w:val="201F1E"/>
          <w:sz w:val="20"/>
          <w:szCs w:val="20"/>
        </w:rPr>
        <w:t>Onishi</w:t>
      </w:r>
      <w:proofErr w:type="spellEnd"/>
      <w:r>
        <w:rPr>
          <w:color w:val="201F1E"/>
          <w:sz w:val="20"/>
          <w:szCs w:val="20"/>
        </w:rPr>
        <w:t>, violino, e Fabio </w:t>
      </w:r>
      <w:proofErr w:type="spellStart"/>
      <w:r>
        <w:rPr>
          <w:color w:val="201F1E"/>
          <w:sz w:val="20"/>
          <w:szCs w:val="20"/>
        </w:rPr>
        <w:t>Ciofini</w:t>
      </w:r>
      <w:proofErr w:type="spellEnd"/>
      <w:r>
        <w:rPr>
          <w:color w:val="201F1E"/>
          <w:sz w:val="20"/>
          <w:szCs w:val="20"/>
        </w:rPr>
        <w:t>, clavicembalo, organo e maestro di concerto – proporrà la </w:t>
      </w:r>
      <w:r>
        <w:rPr>
          <w:i/>
          <w:color w:val="201F1E"/>
          <w:sz w:val="20"/>
          <w:szCs w:val="20"/>
          <w:highlight w:val="white"/>
        </w:rPr>
        <w:t xml:space="preserve">Sinfonia per archi e basso continuo in do maggiore RV 112 </w:t>
      </w:r>
      <w:r w:rsidRPr="00C3322F">
        <w:rPr>
          <w:color w:val="201F1E"/>
          <w:sz w:val="20"/>
          <w:szCs w:val="20"/>
          <w:highlight w:val="white"/>
        </w:rPr>
        <w:t>e</w:t>
      </w:r>
      <w:r>
        <w:rPr>
          <w:i/>
          <w:color w:val="201F1E"/>
          <w:sz w:val="20"/>
          <w:szCs w:val="20"/>
          <w:highlight w:val="white"/>
        </w:rPr>
        <w:t xml:space="preserve"> “Le Quattro Stagioni”</w:t>
      </w:r>
      <w:r>
        <w:rPr>
          <w:color w:val="201F1E"/>
          <w:sz w:val="20"/>
          <w:szCs w:val="20"/>
        </w:rPr>
        <w:t xml:space="preserve"> di </w:t>
      </w:r>
      <w:r>
        <w:rPr>
          <w:b/>
          <w:color w:val="201F1E"/>
          <w:sz w:val="20"/>
          <w:szCs w:val="20"/>
        </w:rPr>
        <w:t>Antonio Vivaldi</w:t>
      </w:r>
      <w:r>
        <w:rPr>
          <w:color w:val="201F1E"/>
          <w:sz w:val="20"/>
          <w:szCs w:val="20"/>
        </w:rPr>
        <w:t xml:space="preserve">. </w:t>
      </w:r>
    </w:p>
    <w:p w:rsidR="00A97116" w:rsidRDefault="00A97116">
      <w:pPr>
        <w:shd w:val="clear" w:color="auto" w:fill="FFFFFF"/>
        <w:rPr>
          <w:color w:val="201F1E"/>
          <w:sz w:val="20"/>
          <w:szCs w:val="20"/>
        </w:rPr>
      </w:pPr>
    </w:p>
    <w:p w:rsidR="00A97116" w:rsidRDefault="00C3322F">
      <w:pPr>
        <w:shd w:val="clear" w:color="auto" w:fill="FFFFFF"/>
        <w:rPr>
          <w:color w:val="201F1E"/>
          <w:sz w:val="20"/>
          <w:szCs w:val="20"/>
        </w:rPr>
      </w:pPr>
      <w:r>
        <w:rPr>
          <w:color w:val="201F1E"/>
          <w:sz w:val="20"/>
          <w:szCs w:val="20"/>
        </w:rPr>
        <w:t xml:space="preserve">A introdurre l'esibizione, che fa parte del percorso di avvicinamento a </w:t>
      </w:r>
      <w:proofErr w:type="spellStart"/>
      <w:r>
        <w:rPr>
          <w:color w:val="201F1E"/>
          <w:sz w:val="20"/>
          <w:szCs w:val="20"/>
        </w:rPr>
        <w:t>Sharper</w:t>
      </w:r>
      <w:proofErr w:type="spellEnd"/>
      <w:r>
        <w:rPr>
          <w:color w:val="201F1E"/>
          <w:sz w:val="20"/>
          <w:szCs w:val="20"/>
        </w:rPr>
        <w:t xml:space="preserve"> – La notte europea dei </w:t>
      </w:r>
      <w:r>
        <w:rPr>
          <w:color w:val="000000"/>
          <w:sz w:val="20"/>
          <w:szCs w:val="20"/>
          <w:highlight w:val="white"/>
        </w:rPr>
        <w:t>ricercatori 2021</w:t>
      </w:r>
      <w:r>
        <w:rPr>
          <w:color w:val="201F1E"/>
          <w:sz w:val="20"/>
          <w:szCs w:val="20"/>
        </w:rPr>
        <w:t xml:space="preserve">, sarà il dialogo tra </w:t>
      </w:r>
      <w:r>
        <w:rPr>
          <w:b/>
          <w:color w:val="201F1E"/>
          <w:sz w:val="20"/>
          <w:szCs w:val="20"/>
        </w:rPr>
        <w:t>Serena</w:t>
      </w:r>
      <w:r>
        <w:rPr>
          <w:color w:val="201F1E"/>
          <w:sz w:val="20"/>
          <w:szCs w:val="20"/>
        </w:rPr>
        <w:t> </w:t>
      </w:r>
      <w:r>
        <w:rPr>
          <w:b/>
          <w:color w:val="201F1E"/>
          <w:sz w:val="20"/>
          <w:szCs w:val="20"/>
        </w:rPr>
        <w:t>Massari</w:t>
      </w:r>
      <w:r>
        <w:rPr>
          <w:color w:val="201F1E"/>
          <w:sz w:val="20"/>
          <w:szCs w:val="20"/>
        </w:rPr>
        <w:t xml:space="preserve">, ricercatrice del Dipartimento di Scienze Farmaceutiche dell'Università degli Studi di Perugia, e </w:t>
      </w:r>
      <w:r>
        <w:rPr>
          <w:b/>
          <w:color w:val="201F1E"/>
          <w:sz w:val="20"/>
          <w:szCs w:val="20"/>
        </w:rPr>
        <w:t>Ma</w:t>
      </w:r>
      <w:r>
        <w:rPr>
          <w:b/>
          <w:color w:val="201F1E"/>
          <w:sz w:val="20"/>
          <w:szCs w:val="20"/>
        </w:rPr>
        <w:t>rco </w:t>
      </w:r>
      <w:proofErr w:type="spellStart"/>
      <w:r>
        <w:rPr>
          <w:b/>
          <w:color w:val="201F1E"/>
          <w:sz w:val="20"/>
          <w:szCs w:val="20"/>
        </w:rPr>
        <w:t>Cherin</w:t>
      </w:r>
      <w:proofErr w:type="spellEnd"/>
      <w:r>
        <w:rPr>
          <w:color w:val="201F1E"/>
          <w:sz w:val="20"/>
          <w:szCs w:val="20"/>
        </w:rPr>
        <w:t xml:space="preserve">, ricercatore del Dipartimento di Fisica e Geologia dell'Ateneo perugino. </w:t>
      </w:r>
    </w:p>
    <w:p w:rsidR="00A97116" w:rsidRDefault="00C3322F">
      <w:pPr>
        <w:shd w:val="clear" w:color="auto" w:fill="FFFFFF"/>
        <w:rPr>
          <w:color w:val="201F1E"/>
          <w:sz w:val="20"/>
          <w:szCs w:val="20"/>
        </w:rPr>
      </w:pPr>
      <w:r>
        <w:rPr>
          <w:color w:val="201F1E"/>
          <w:sz w:val="20"/>
          <w:szCs w:val="20"/>
        </w:rPr>
        <w:t xml:space="preserve">“Parleremo della nascita della vita sulla Terra – anticipa </w:t>
      </w:r>
      <w:proofErr w:type="spellStart"/>
      <w:r>
        <w:rPr>
          <w:color w:val="201F1E"/>
          <w:sz w:val="20"/>
          <w:szCs w:val="20"/>
        </w:rPr>
        <w:t>Cherin</w:t>
      </w:r>
      <w:proofErr w:type="spellEnd"/>
      <w:r>
        <w:rPr>
          <w:color w:val="201F1E"/>
          <w:sz w:val="20"/>
          <w:szCs w:val="20"/>
        </w:rPr>
        <w:t xml:space="preserve"> – da due diverse prospettive. Come si è sviluppata nel nostro pianeta? E cosa sappiamo veramente di quest</w:t>
      </w:r>
      <w:r>
        <w:rPr>
          <w:color w:val="201F1E"/>
          <w:sz w:val="20"/>
          <w:szCs w:val="20"/>
        </w:rPr>
        <w:t>e origini, andando a studiare cosa ci raccontano le rocce?”.</w:t>
      </w:r>
    </w:p>
    <w:p w:rsidR="00A97116" w:rsidRDefault="00A97116">
      <w:pPr>
        <w:shd w:val="clear" w:color="auto" w:fill="FFFFFF"/>
        <w:rPr>
          <w:color w:val="201F1E"/>
          <w:sz w:val="20"/>
          <w:szCs w:val="20"/>
        </w:rPr>
      </w:pPr>
    </w:p>
    <w:p w:rsidR="00A97116" w:rsidRDefault="00C3322F">
      <w:pPr>
        <w:shd w:val="clear" w:color="auto" w:fill="FFFFFF"/>
        <w:rPr>
          <w:color w:val="201F1E"/>
          <w:sz w:val="20"/>
          <w:szCs w:val="20"/>
        </w:rPr>
      </w:pPr>
      <w:r>
        <w:rPr>
          <w:color w:val="201F1E"/>
          <w:sz w:val="20"/>
          <w:szCs w:val="20"/>
        </w:rPr>
        <w:br/>
        <w:t>“</w:t>
      </w:r>
      <w:r>
        <w:rPr>
          <w:b/>
          <w:color w:val="201F1E"/>
          <w:sz w:val="20"/>
          <w:szCs w:val="20"/>
        </w:rPr>
        <w:t xml:space="preserve">Il suono della ricerca” </w:t>
      </w:r>
      <w:r>
        <w:rPr>
          <w:color w:val="201F1E"/>
          <w:sz w:val="20"/>
          <w:szCs w:val="20"/>
        </w:rPr>
        <w:t>si concluderà</w:t>
      </w:r>
      <w:r>
        <w:rPr>
          <w:b/>
          <w:color w:val="201F1E"/>
          <w:sz w:val="20"/>
          <w:szCs w:val="20"/>
        </w:rPr>
        <w:t xml:space="preserve"> venerdì 13 agosto, alle 21</w:t>
      </w:r>
      <w:r>
        <w:rPr>
          <w:color w:val="201F1E"/>
          <w:sz w:val="20"/>
          <w:szCs w:val="20"/>
        </w:rPr>
        <w:t xml:space="preserve">, con la serata </w:t>
      </w:r>
      <w:r>
        <w:rPr>
          <w:b/>
          <w:color w:val="201F1E"/>
          <w:sz w:val="20"/>
          <w:szCs w:val="20"/>
        </w:rPr>
        <w:t>“</w:t>
      </w:r>
      <w:proofErr w:type="spellStart"/>
      <w:r>
        <w:rPr>
          <w:b/>
          <w:color w:val="201F1E"/>
          <w:sz w:val="20"/>
          <w:szCs w:val="20"/>
        </w:rPr>
        <w:t>Ocp</w:t>
      </w:r>
      <w:proofErr w:type="spellEnd"/>
      <w:r>
        <w:rPr>
          <w:b/>
          <w:color w:val="201F1E"/>
          <w:sz w:val="20"/>
          <w:szCs w:val="20"/>
        </w:rPr>
        <w:t xml:space="preserve"> on the </w:t>
      </w:r>
      <w:proofErr w:type="spellStart"/>
      <w:r>
        <w:rPr>
          <w:b/>
          <w:color w:val="201F1E"/>
          <w:sz w:val="20"/>
          <w:szCs w:val="20"/>
        </w:rPr>
        <w:t>moon</w:t>
      </w:r>
      <w:proofErr w:type="spellEnd"/>
      <w:r>
        <w:rPr>
          <w:b/>
          <w:color w:val="201F1E"/>
          <w:sz w:val="20"/>
          <w:szCs w:val="20"/>
        </w:rPr>
        <w:t>”,</w:t>
      </w:r>
      <w:r>
        <w:rPr>
          <w:color w:val="201F1E"/>
          <w:sz w:val="20"/>
          <w:szCs w:val="20"/>
        </w:rPr>
        <w:t xml:space="preserve"> con l'Orchestra da Camera di Perugia e Marco </w:t>
      </w:r>
      <w:proofErr w:type="spellStart"/>
      <w:r>
        <w:rPr>
          <w:color w:val="201F1E"/>
          <w:sz w:val="20"/>
          <w:szCs w:val="20"/>
        </w:rPr>
        <w:t>Pierobon</w:t>
      </w:r>
      <w:proofErr w:type="spellEnd"/>
      <w:r>
        <w:rPr>
          <w:color w:val="201F1E"/>
          <w:sz w:val="20"/>
          <w:szCs w:val="20"/>
        </w:rPr>
        <w:t xml:space="preserve"> – tromba e direzione – e l'approfondim</w:t>
      </w:r>
      <w:r>
        <w:rPr>
          <w:color w:val="201F1E"/>
          <w:sz w:val="20"/>
          <w:szCs w:val="20"/>
        </w:rPr>
        <w:t xml:space="preserve">ento scientifico a cura dell'Università degli Studi di Perugia affidato a </w:t>
      </w:r>
      <w:proofErr w:type="spellStart"/>
      <w:r>
        <w:rPr>
          <w:color w:val="201F1E"/>
          <w:sz w:val="20"/>
          <w:szCs w:val="20"/>
        </w:rPr>
        <w:t>Helios</w:t>
      </w:r>
      <w:proofErr w:type="spellEnd"/>
      <w:r>
        <w:rPr>
          <w:color w:val="201F1E"/>
          <w:sz w:val="20"/>
          <w:szCs w:val="20"/>
        </w:rPr>
        <w:t xml:space="preserve"> </w:t>
      </w:r>
      <w:proofErr w:type="spellStart"/>
      <w:r>
        <w:rPr>
          <w:color w:val="201F1E"/>
          <w:sz w:val="20"/>
          <w:szCs w:val="20"/>
        </w:rPr>
        <w:t>Vocca</w:t>
      </w:r>
      <w:proofErr w:type="spellEnd"/>
      <w:r>
        <w:rPr>
          <w:color w:val="201F1E"/>
          <w:sz w:val="20"/>
          <w:szCs w:val="20"/>
        </w:rPr>
        <w:t xml:space="preserve">. </w:t>
      </w:r>
    </w:p>
    <w:p w:rsidR="00A97116" w:rsidRDefault="00C3322F">
      <w:pPr>
        <w:shd w:val="clear" w:color="auto" w:fill="FFFFFF"/>
        <w:rPr>
          <w:color w:val="201F1E"/>
          <w:sz w:val="20"/>
          <w:szCs w:val="20"/>
        </w:rPr>
      </w:pPr>
      <w:r>
        <w:rPr>
          <w:color w:val="201F1E"/>
          <w:sz w:val="20"/>
          <w:szCs w:val="20"/>
        </w:rPr>
        <w:t>L’iniziativa – a ingresso gratuito su prenotazione – è finanziata dalla Commissione Europea nell’ambito dei progetti </w:t>
      </w:r>
      <w:r>
        <w:rPr>
          <w:b/>
          <w:color w:val="201F1E"/>
          <w:sz w:val="20"/>
          <w:szCs w:val="20"/>
        </w:rPr>
        <w:t>Notte Europea dei Ricercatori</w:t>
      </w:r>
      <w:r>
        <w:rPr>
          <w:color w:val="201F1E"/>
          <w:sz w:val="20"/>
          <w:szCs w:val="20"/>
        </w:rPr>
        <w:t xml:space="preserve"> – azioni Marie </w:t>
      </w:r>
      <w:proofErr w:type="spellStart"/>
      <w:r>
        <w:rPr>
          <w:color w:val="201F1E"/>
          <w:sz w:val="20"/>
          <w:szCs w:val="20"/>
        </w:rPr>
        <w:t>Sklod</w:t>
      </w:r>
      <w:r>
        <w:rPr>
          <w:color w:val="201F1E"/>
          <w:sz w:val="20"/>
          <w:szCs w:val="20"/>
        </w:rPr>
        <w:t>owska-Curie</w:t>
      </w:r>
      <w:proofErr w:type="spellEnd"/>
      <w:r>
        <w:rPr>
          <w:color w:val="201F1E"/>
          <w:sz w:val="20"/>
          <w:szCs w:val="20"/>
        </w:rPr>
        <w:t>. GA 101036106.</w:t>
      </w:r>
    </w:p>
    <w:p w:rsidR="00A97116" w:rsidRDefault="00A971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eastAsia="Arial" w:cs="Arial"/>
          <w:b/>
          <w:color w:val="000000"/>
          <w:sz w:val="20"/>
          <w:szCs w:val="20"/>
        </w:rPr>
      </w:pPr>
    </w:p>
    <w:p w:rsidR="00A97116" w:rsidRDefault="00A971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eastAsia="Arial" w:cs="Arial"/>
          <w:b/>
          <w:color w:val="000000"/>
          <w:sz w:val="20"/>
          <w:szCs w:val="20"/>
        </w:rPr>
      </w:pPr>
    </w:p>
    <w:p w:rsidR="00A97116" w:rsidRDefault="00A971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eastAsia="Arial" w:cs="Arial"/>
          <w:b/>
          <w:color w:val="000000"/>
          <w:sz w:val="20"/>
          <w:szCs w:val="20"/>
        </w:rPr>
      </w:pPr>
    </w:p>
    <w:p w:rsidR="00A97116" w:rsidRDefault="00A971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eastAsia="Arial" w:cs="Arial"/>
          <w:b/>
          <w:color w:val="000000"/>
          <w:sz w:val="20"/>
          <w:szCs w:val="20"/>
        </w:rPr>
      </w:pPr>
    </w:p>
    <w:p w:rsidR="00A97116" w:rsidRDefault="00C3322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eastAsia="Arial" w:cs="Arial"/>
          <w:b/>
          <w:color w:val="000000"/>
          <w:sz w:val="20"/>
          <w:szCs w:val="20"/>
        </w:rPr>
      </w:pPr>
      <w:bookmarkStart w:id="0" w:name="_heading=h.gjdgxs" w:colFirst="0" w:colLast="0"/>
      <w:bookmarkEnd w:id="0"/>
      <w:r>
        <w:rPr>
          <w:rFonts w:eastAsia="Arial" w:cs="Arial"/>
          <w:b/>
          <w:color w:val="000000"/>
          <w:sz w:val="20"/>
          <w:szCs w:val="20"/>
        </w:rPr>
        <w:t xml:space="preserve">Perugia,   </w:t>
      </w:r>
      <w:r w:rsidR="00E6071E">
        <w:rPr>
          <w:rFonts w:eastAsia="Arial" w:cs="Arial"/>
          <w:b/>
          <w:color w:val="000000"/>
          <w:sz w:val="20"/>
          <w:szCs w:val="20"/>
        </w:rPr>
        <w:t xml:space="preserve">26 </w:t>
      </w:r>
      <w:r>
        <w:rPr>
          <w:rFonts w:eastAsia="Arial" w:cs="Arial"/>
          <w:b/>
          <w:color w:val="000000"/>
          <w:sz w:val="20"/>
          <w:szCs w:val="20"/>
        </w:rPr>
        <w:t>luglio 2021</w:t>
      </w:r>
    </w:p>
    <w:p w:rsidR="00A97116" w:rsidRDefault="00C3322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eastAsia="Arial" w:cs="Arial"/>
          <w:color w:val="201F1E"/>
        </w:rPr>
      </w:pPr>
      <w:r>
        <w:rPr>
          <w:rFonts w:eastAsia="Arial" w:cs="Arial"/>
          <w:b/>
          <w:color w:val="000000"/>
          <w:sz w:val="20"/>
          <w:szCs w:val="20"/>
        </w:rPr>
        <w:br/>
      </w:r>
    </w:p>
    <w:p w:rsidR="00A97116" w:rsidRDefault="00A97116">
      <w:pPr>
        <w:shd w:val="clear" w:color="auto" w:fill="FFFFFF"/>
        <w:rPr>
          <w:color w:val="000000"/>
          <w:sz w:val="20"/>
          <w:szCs w:val="20"/>
        </w:rPr>
      </w:pPr>
    </w:p>
    <w:p w:rsidR="00A97116" w:rsidRDefault="00C3322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eastAsia="Arial" w:cs="Arial"/>
          <w:color w:val="201F1E"/>
          <w:sz w:val="20"/>
          <w:szCs w:val="20"/>
        </w:rPr>
      </w:pPr>
      <w:r>
        <w:rPr>
          <w:rFonts w:eastAsia="Arial" w:cs="Arial"/>
          <w:color w:val="201F1E"/>
          <w:sz w:val="20"/>
          <w:szCs w:val="20"/>
          <w:highlight w:val="white"/>
        </w:rPr>
        <w:t> </w:t>
      </w:r>
    </w:p>
    <w:p w:rsidR="00A97116" w:rsidRDefault="00A97116">
      <w:pPr>
        <w:jc w:val="center"/>
        <w:rPr>
          <w:sz w:val="20"/>
          <w:szCs w:val="20"/>
        </w:rPr>
      </w:pPr>
    </w:p>
    <w:sectPr w:rsidR="00A97116" w:rsidSect="00A9711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119" w:right="1134" w:bottom="1701" w:left="1134" w:header="709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7116" w:rsidRDefault="00A97116" w:rsidP="00A97116">
      <w:r>
        <w:separator/>
      </w:r>
    </w:p>
  </w:endnote>
  <w:endnote w:type="continuationSeparator" w:id="0">
    <w:p w:rsidR="00A97116" w:rsidRDefault="00A97116" w:rsidP="00A971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C332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</w:p>
  <w:p w:rsidR="00A97116" w:rsidRDefault="00C332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ve:AlternateContent>
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1181100</wp:posOffset>
            </wp:positionH>
            <wp:positionV relativeFrom="paragraph">
              <wp:posOffset>12700</wp:posOffset>
            </wp:positionV>
            <wp:extent cx="1381125" cy="642620"/>
            <wp:effectExtent b="0" l="0" r="0" t="0"/>
            <wp:wrapNone/>
            <wp:docPr id="2" name=""/>
            <a:graphic>
              <a:graphicData uri="http://schemas.microsoft.com/office/word/2010/wordprocessingShape">
                <wps:wsp>
                  <wps:cNvSpPr/>
                  <wps:cNvPr id="3" name="Shape 3"/>
                  <wps:spPr>
                    <a:xfrm>
                      <a:off x="4660200" y="3463453"/>
                      <a:ext cx="1371600" cy="633095"/>
                    </a:xfrm>
                    <a:custGeom>
                      <a:rect b="b" l="l" r="r" t="t"/>
                      <a:pathLst>
                        <a:path extrusionOk="0" h="633095" w="1371600">
                          <a:moveTo>
                            <a:pt x="0" y="0"/>
                          </a:moveTo>
                          <a:lnTo>
                            <a:pt x="0" y="633095"/>
                          </a:lnTo>
                          <a:lnTo>
                            <a:pt x="1371600" y="633095"/>
                          </a:lnTo>
                          <a:lnTo>
                            <a:pt x="1371600" y="0"/>
                          </a:lnTo>
                          <a:close/>
                        </a:path>
                      </a:pathLst>
                    </a:custGeom>
                    <a:noFill/>
                    <a:ln>
                      <a:noFill/>
                    </a:ln>
                  </wps:spPr>
                  <wps:txbx>
                    <w:txbxContent>
                      <w:p w:rsidR="00000000" w:rsidDel="00000000" w:rsidP="00000000" w:rsidRDefault="00000000" w:rsidRPr="00000000">
                        <w:pPr>
                          <w:spacing w:after="0" w:before="0" w:line="240"/>
                          <w:ind w:left="0" w:right="0" w:firstLine="0"/>
                          <w:jc w:val="left"/>
                          <w:textDirection w:val="btLr"/>
                        </w:pPr>
                        <w:r w:rsidDel="00000000" w:rsidR="00000000" w:rsidRPr="00000000">
                          <w:rPr>
                            <w:rFonts w:ascii="Work Sans" w:cs="Work Sans" w:eastAsia="Work Sans" w:hAnsi="Work Sans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18"/>
                            <w:vertAlign w:val="baseline"/>
                          </w:rPr>
                          <w:t xml:space="preserve">via Zefferino Faina, 4</w:t>
                        </w:r>
                      </w:p>
                      <w:p w:rsidR="00000000" w:rsidDel="00000000" w:rsidP="00000000" w:rsidRDefault="00000000" w:rsidRPr="00000000">
                        <w:pPr>
                          <w:spacing w:after="0" w:before="0" w:line="240"/>
                          <w:ind w:left="0" w:right="0" w:firstLine="0"/>
                          <w:jc w:val="left"/>
                          <w:textDirection w:val="btLr"/>
                        </w:pPr>
                        <w:r w:rsidDel="00000000" w:rsidR="00000000" w:rsidRPr="00000000">
                          <w:rPr>
                            <w:rFonts w:ascii="Work Sans" w:cs="Work Sans" w:eastAsia="Work Sans" w:hAnsi="Work Sans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18"/>
                            <w:vertAlign w:val="baseline"/>
                          </w:rPr>
                        </w:r>
                        <w:r w:rsidDel="00000000" w:rsidR="00000000" w:rsidRPr="00000000">
                          <w:rPr>
                            <w:rFonts w:ascii="Work Sans" w:cs="Work Sans" w:eastAsia="Work Sans" w:hAnsi="Work Sans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18"/>
                            <w:vertAlign w:val="baseline"/>
                          </w:rPr>
                          <w:t xml:space="preserve">06123 Perugia</w:t>
                        </w:r>
                      </w:p>
                    </w:txbxContent>
                  </wps:txbx>
                  <wps:bodyPr anchorCtr="0" anchor="t" bIns="0" lIns="114300" spcFirstLastPara="1" rIns="114300" wrap="square" tIns="0">
                    <a:noAutofit/>
                  </wps:bodyPr>
                </wps:wsp>
              </a:graphicData>
            </a:graphic>
          </wp:anchor>
        </w:drawing>
      </mc:Choice>
      <ve:Fallback>
        <w:r>
          <w:rPr>
            <w:noProof/>
          </w:rPr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1181100</wp:posOffset>
              </wp:positionH>
              <wp:positionV relativeFrom="paragraph">
                <wp:posOffset>12700</wp:posOffset>
              </wp:positionV>
              <wp:extent cx="1381125" cy="642620"/>
              <wp:effectExtent l="0" t="0" r="0" b="0"/>
              <wp:wrapNone/>
              <wp:docPr id="2" name="image5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81125" cy="64262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ve:Fallback>
    </ve:AlternateContent>
    <ve:AlternateContent>
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2755900</wp:posOffset>
            </wp:positionH>
            <wp:positionV relativeFrom="paragraph">
              <wp:posOffset>12700</wp:posOffset>
            </wp:positionV>
            <wp:extent cx="990600" cy="642620"/>
            <wp:effectExtent b="0" l="0" r="0" t="0"/>
            <wp:wrapNone/>
            <wp:docPr id="3" name=""/>
            <a:graphic>
              <a:graphicData uri="http://schemas.microsoft.com/office/word/2010/wordprocessingShape">
                <wps:wsp>
                  <wps:cNvSpPr/>
                  <wps:cNvPr id="4" name="Shape 4"/>
                  <wps:spPr>
                    <a:xfrm>
                      <a:off x="4855463" y="3463453"/>
                      <a:ext cx="981075" cy="633095"/>
                    </a:xfrm>
                    <a:custGeom>
                      <a:rect b="b" l="l" r="r" t="t"/>
                      <a:pathLst>
                        <a:path extrusionOk="0" h="633095" w="981075">
                          <a:moveTo>
                            <a:pt x="0" y="0"/>
                          </a:moveTo>
                          <a:lnTo>
                            <a:pt x="0" y="633095"/>
                          </a:lnTo>
                          <a:lnTo>
                            <a:pt x="981075" y="633095"/>
                          </a:lnTo>
                          <a:lnTo>
                            <a:pt x="981075" y="0"/>
                          </a:lnTo>
                          <a:close/>
                        </a:path>
                      </a:pathLst>
                    </a:custGeom>
                    <a:noFill/>
                    <a:ln>
                      <a:noFill/>
                    </a:ln>
                  </wps:spPr>
                  <wps:txbx>
                    <w:txbxContent>
                      <w:p w:rsidR="00000000" w:rsidDel="00000000" w:rsidP="00000000" w:rsidRDefault="00000000" w:rsidRPr="00000000">
                        <w:pPr>
                          <w:spacing w:after="0" w:before="0" w:line="240"/>
                          <w:ind w:left="0" w:right="0" w:firstLine="0"/>
                          <w:jc w:val="left"/>
                          <w:textDirection w:val="btLr"/>
                        </w:pPr>
                        <w:r w:rsidDel="00000000" w:rsidR="00000000" w:rsidRPr="00000000">
                          <w:rPr>
                            <w:rFonts w:ascii="Work Sans" w:cs="Work Sans" w:eastAsia="Work Sans" w:hAnsi="Work Sans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18"/>
                            <w:vertAlign w:val="baseline"/>
                          </w:rPr>
                          <w:t xml:space="preserve">Staff Comunicazione e Relazioni Esterne Ufficio Stampa</w:t>
                        </w:r>
                      </w:p>
                    </w:txbxContent>
                  </wps:txbx>
                  <wps:bodyPr anchorCtr="0" anchor="t" bIns="0" lIns="114300" spcFirstLastPara="1" rIns="114300" wrap="square" tIns="0">
                    <a:noAutofit/>
                  </wps:bodyPr>
                </wps:wsp>
              </a:graphicData>
            </a:graphic>
          </wp:anchor>
        </w:drawing>
      </mc:Choice>
      <ve:Fallback>
        <w:r>
          <w:rPr>
            <w:noProof/>
          </w:rPr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2755900</wp:posOffset>
              </wp:positionH>
              <wp:positionV relativeFrom="paragraph">
                <wp:posOffset>12700</wp:posOffset>
              </wp:positionV>
              <wp:extent cx="990600" cy="642620"/>
              <wp:effectExtent l="0" t="0" r="0" b="0"/>
              <wp:wrapNone/>
              <wp:docPr id="3" name="image6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6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90600" cy="64262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ve:Fallback>
    </ve:AlternateContent>
    <ve:AlternateContent>
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4064000</wp:posOffset>
            </wp:positionH>
            <wp:positionV relativeFrom="paragraph">
              <wp:posOffset>12700</wp:posOffset>
            </wp:positionV>
            <wp:extent cx="1560830" cy="642620"/>
            <wp:effectExtent b="0" l="0" r="0" t="0"/>
            <wp:wrapNone/>
            <wp:docPr id="1" name=""/>
            <a:graphic>
              <a:graphicData uri="http://schemas.microsoft.com/office/word/2010/wordprocessingShape">
                <wps:wsp>
                  <wps:cNvSpPr/>
                  <wps:cNvPr id="2" name="Shape 2"/>
                  <wps:spPr>
                    <a:xfrm>
                      <a:off x="4570348" y="3463453"/>
                      <a:ext cx="1551305" cy="633095"/>
                    </a:xfrm>
                    <a:custGeom>
                      <a:rect b="b" l="l" r="r" t="t"/>
                      <a:pathLst>
                        <a:path extrusionOk="0" h="633095" w="1551305">
                          <a:moveTo>
                            <a:pt x="0" y="0"/>
                          </a:moveTo>
                          <a:lnTo>
                            <a:pt x="0" y="633095"/>
                          </a:lnTo>
                          <a:lnTo>
                            <a:pt x="1551305" y="633095"/>
                          </a:lnTo>
                          <a:lnTo>
                            <a:pt x="1551305" y="0"/>
                          </a:lnTo>
                          <a:close/>
                        </a:path>
                      </a:pathLst>
                    </a:custGeom>
                    <a:noFill/>
                    <a:ln>
                      <a:noFill/>
                    </a:ln>
                  </wps:spPr>
                  <wps:txbx>
                    <w:txbxContent>
                      <w:p w:rsidR="00000000" w:rsidDel="00000000" w:rsidP="00000000" w:rsidRDefault="00000000" w:rsidRPr="00000000">
                        <w:pPr>
                          <w:spacing w:after="0" w:before="0" w:line="240"/>
                          <w:ind w:left="0" w:right="0" w:firstLine="0"/>
                          <w:jc w:val="left"/>
                          <w:textDirection w:val="btLr"/>
                        </w:pPr>
                        <w:r w:rsidDel="00000000" w:rsidR="00000000" w:rsidRPr="00000000">
                          <w:rPr>
                            <w:rFonts w:ascii="Work Sans" w:cs="Work Sans" w:eastAsia="Work Sans" w:hAnsi="Work Sans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18"/>
                            <w:vertAlign w:val="baseline"/>
                          </w:rPr>
                          <w:t xml:space="preserve">075 585 2255</w:t>
                        </w:r>
                      </w:p>
                      <w:p w:rsidR="00000000" w:rsidDel="00000000" w:rsidP="00000000" w:rsidRDefault="00000000" w:rsidRPr="00000000">
                        <w:pPr>
                          <w:spacing w:after="0" w:before="0" w:line="240"/>
                          <w:ind w:left="0" w:right="0" w:firstLine="0"/>
                          <w:jc w:val="left"/>
                          <w:textDirection w:val="btLr"/>
                        </w:pPr>
                        <w:r w:rsidDel="00000000" w:rsidR="00000000" w:rsidRPr="00000000">
                          <w:rPr>
                            <w:rFonts w:ascii="Work Sans" w:cs="Work Sans" w:eastAsia="Work Sans" w:hAnsi="Work Sans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18"/>
                            <w:vertAlign w:val="baseline"/>
                          </w:rPr>
                        </w:r>
                        <w:r w:rsidDel="00000000" w:rsidR="00000000" w:rsidRPr="00000000">
                          <w:rPr>
                            <w:rFonts w:ascii="Work Sans" w:cs="Work Sans" w:eastAsia="Work Sans" w:hAnsi="Work Sans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18"/>
                            <w:vertAlign w:val="baseline"/>
                          </w:rPr>
                          <w:t xml:space="preserve">ufficio.stampa@unipg.it</w:t>
                        </w:r>
                      </w:p>
                      <w:p w:rsidR="00000000" w:rsidDel="00000000" w:rsidP="00000000" w:rsidRDefault="00000000" w:rsidRPr="00000000">
                        <w:pPr>
                          <w:spacing w:after="0" w:before="0" w:line="240"/>
                          <w:ind w:left="0" w:right="0" w:firstLine="0"/>
                          <w:jc w:val="left"/>
                          <w:textDirection w:val="btLr"/>
                        </w:pPr>
                        <w:r w:rsidDel="00000000" w:rsidR="00000000" w:rsidRPr="00000000">
                          <w:rPr>
                            <w:rFonts w:ascii="Work Sans" w:cs="Work Sans" w:eastAsia="Work Sans" w:hAnsi="Work Sans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18"/>
                            <w:vertAlign w:val="baseline"/>
                          </w:rPr>
                        </w:r>
                      </w:p>
                    </w:txbxContent>
                  </wps:txbx>
                  <wps:bodyPr anchorCtr="0" anchor="t" bIns="0" lIns="114300" spcFirstLastPara="1" rIns="114300" wrap="square" tIns="0">
                    <a:noAutofit/>
                  </wps:bodyPr>
                </wps:wsp>
              </a:graphicData>
            </a:graphic>
          </wp:anchor>
        </w:drawing>
      </mc:Choice>
      <ve:Fallback>
        <w:r>
          <w:rPr>
            <w:noProof/>
          </w:rPr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4064000</wp:posOffset>
              </wp:positionH>
              <wp:positionV relativeFrom="paragraph">
                <wp:posOffset>12700</wp:posOffset>
              </wp:positionV>
              <wp:extent cx="1560830" cy="642620"/>
              <wp:effectExtent l="0" t="0" r="0" b="0"/>
              <wp:wrapNone/>
              <wp:docPr id="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60830" cy="64262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ve:Fallback>
    </ve:AlternateContent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7116" w:rsidRDefault="00A97116" w:rsidP="00A97116">
      <w:r>
        <w:separator/>
      </w:r>
    </w:p>
  </w:footnote>
  <w:footnote w:type="continuationSeparator" w:id="0">
    <w:p w:rsidR="00A97116" w:rsidRDefault="00A97116" w:rsidP="00A971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:absolute;mso-position-horizontal-relative:margin;mso-position-vertical:absolute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97116"/>
    <w:rsid w:val="00A97116"/>
    <w:rsid w:val="00C3322F"/>
    <w:rsid w:val="00E607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02464"/>
    <w:rPr>
      <w:rFonts w:eastAsia="Times New Roman" w:cs="Times New Roman"/>
    </w:rPr>
  </w:style>
  <w:style w:type="paragraph" w:styleId="Titolo1">
    <w:name w:val="heading 1"/>
    <w:basedOn w:val="Normale"/>
    <w:link w:val="Titolo1Carattere"/>
    <w:uiPriority w:val="9"/>
    <w:qFormat/>
    <w:rsid w:val="0050239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2">
    <w:name w:val="heading 2"/>
    <w:basedOn w:val="normal"/>
    <w:next w:val="normal"/>
    <w:rsid w:val="00A9711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"/>
    <w:next w:val="normal"/>
    <w:rsid w:val="00A9711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"/>
    <w:next w:val="normal"/>
    <w:rsid w:val="00A97116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"/>
    <w:next w:val="normal"/>
    <w:rsid w:val="00A9711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"/>
    <w:next w:val="normal"/>
    <w:rsid w:val="00A9711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">
    <w:name w:val="normal"/>
    <w:rsid w:val="00A97116"/>
  </w:style>
  <w:style w:type="table" w:customStyle="1" w:styleId="TableNormal">
    <w:name w:val="Table Normal"/>
    <w:rsid w:val="00A971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"/>
    <w:next w:val="normal"/>
    <w:rsid w:val="00A97116"/>
    <w:pPr>
      <w:keepNext/>
      <w:keepLines/>
      <w:spacing w:before="480" w:after="120"/>
    </w:pPr>
    <w:rPr>
      <w:b/>
      <w:sz w:val="72"/>
      <w:szCs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239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xxmsonormal">
    <w:name w:val="x_x_msonormal"/>
    <w:basedOn w:val="Normale"/>
    <w:rsid w:val="0023391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msohyperlink">
    <w:name w:val="x_msohyperlink"/>
    <w:basedOn w:val="Carpredefinitoparagrafo"/>
    <w:rsid w:val="00EB4E27"/>
  </w:style>
  <w:style w:type="paragraph" w:styleId="Sottotitolo">
    <w:name w:val="Subtitle"/>
    <w:basedOn w:val="normal"/>
    <w:next w:val="normal"/>
    <w:rsid w:val="00A9711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XD72ub2+3KhBdBB9YR9IW0Ynlg==">AMUW2mU065ldQ8Y0vGK7bLVYEx3xvWd6PhVcT3Ogu93cdJmoJIBe0O1CRzj1Tz/UDKOAOK8uVcsgcPY4J/xiUzjg+nPRareWR784X+iFgNtPZp30rTqySJc3ZF2qYpknlwGGdw6xnHhl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311</Words>
  <Characters>1775</Characters>
  <Application>Microsoft Office Word</Application>
  <DocSecurity>0</DocSecurity>
  <Lines>14</Lines>
  <Paragraphs>4</Paragraphs>
  <ScaleCrop>false</ScaleCrop>
  <Company/>
  <LinksUpToDate>false</LinksUpToDate>
  <CharactersWithSpaces>2082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Standard</cp:lastModifiedBy>
  <cp:revision>2</cp:revision>
  <dcterms:created xsi:type="dcterms:W3CDTF">2021-07-26T10:48:00Z</dcterms:created>
  <dcterms:modified xsi:type="dcterms:W3CDTF">2021-07-26T10:48:00Z</dcterms:modified>
</cp:coreProperties>
</file>