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229" w:rsidRDefault="008B1229" w:rsidP="008B1229">
      <w:pPr>
        <w:pStyle w:val="NormaleWeb"/>
        <w:shd w:val="clear" w:color="auto" w:fill="FFFFFF"/>
        <w:spacing w:before="0" w:beforeAutospacing="0" w:after="0" w:afterAutospacing="0" w:line="360" w:lineRule="atLeast"/>
        <w:jc w:val="center"/>
      </w:pPr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  <w:r>
        <w:rPr>
          <w:color w:val="201F1E"/>
          <w:bdr w:val="none" w:sz="0" w:space="0" w:color="auto" w:frame="1"/>
        </w:rPr>
        <w:t> </w:t>
      </w:r>
    </w:p>
    <w:p w:rsidR="008B1229" w:rsidRDefault="008B1229" w:rsidP="008B1229">
      <w:pPr>
        <w:pStyle w:val="NormaleWeb"/>
        <w:shd w:val="clear" w:color="auto" w:fill="FFFFFF"/>
        <w:spacing w:before="0" w:beforeAutospacing="0" w:after="0" w:afterAutospacing="0" w:line="360" w:lineRule="atLeast"/>
        <w:jc w:val="center"/>
      </w:pPr>
    </w:p>
    <w:p w:rsidR="008B1229" w:rsidRDefault="008B1229" w:rsidP="008B1229">
      <w:pPr>
        <w:pStyle w:val="NormaleWeb"/>
        <w:spacing w:before="0" w:beforeAutospacing="0" w:after="0" w:afterAutospacing="0" w:line="276" w:lineRule="atLeast"/>
        <w:jc w:val="center"/>
      </w:pP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L’impatto negativo del COVID-19 sui pazienti con patologie croniche. </w:t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  <w:jc w:val="center"/>
      </w:pP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 xml:space="preserve">I risultati di uno studio che coinvolge ricercatori </w:t>
      </w:r>
      <w:proofErr w:type="spellStart"/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Unipg</w:t>
      </w:r>
      <w:proofErr w:type="spellEnd"/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 xml:space="preserve"> pubblicati sull’</w:t>
      </w:r>
      <w:proofErr w:type="spellStart"/>
      <w:r>
        <w:rPr>
          <w:rFonts w:ascii="Arial" w:hAnsi="Arial" w:cs="Arial"/>
          <w:b/>
          <w:bCs/>
          <w:i/>
          <w:iCs/>
          <w:sz w:val="20"/>
          <w:szCs w:val="20"/>
          <w:bdr w:val="none" w:sz="0" w:space="0" w:color="auto" w:frame="1"/>
        </w:rPr>
        <w:t>European</w:t>
      </w:r>
      <w:proofErr w:type="spellEnd"/>
      <w:r>
        <w:rPr>
          <w:rFonts w:ascii="Arial" w:hAnsi="Arial" w:cs="Arial"/>
          <w:b/>
          <w:bCs/>
          <w:i/>
          <w:iCs/>
          <w:sz w:val="20"/>
          <w:szCs w:val="20"/>
          <w:bdr w:val="none" w:sz="0" w:space="0" w:color="auto" w:frame="1"/>
        </w:rPr>
        <w:t xml:space="preserve"> Journal of Preventive </w:t>
      </w:r>
      <w:proofErr w:type="spellStart"/>
      <w:r>
        <w:rPr>
          <w:rFonts w:ascii="Arial" w:hAnsi="Arial" w:cs="Arial"/>
          <w:b/>
          <w:bCs/>
          <w:i/>
          <w:iCs/>
          <w:sz w:val="20"/>
          <w:szCs w:val="20"/>
          <w:bdr w:val="none" w:sz="0" w:space="0" w:color="auto" w:frame="1"/>
        </w:rPr>
        <w:t>Cardiology</w:t>
      </w:r>
      <w:proofErr w:type="spellEnd"/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 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bookmarkStart w:id="0" w:name="_GoBack"/>
      <w:bookmarkEnd w:id="0"/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proofErr w:type="gramStart"/>
      <w:r>
        <w:rPr>
          <w:rFonts w:ascii="Arial" w:hAnsi="Arial" w:cs="Arial"/>
          <w:sz w:val="20"/>
          <w:szCs w:val="20"/>
          <w:bdr w:val="none" w:sz="0" w:space="0" w:color="auto" w:frame="1"/>
        </w:rPr>
        <w:t>E’</w:t>
      </w:r>
      <w:proofErr w:type="gramEnd"/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 nozione diffusa che la pandemia da COVID-19 stia avendo un impatto assai rilevante sulla organizzazione sanitaria e delle cure nel nostro Paese, che si traduce in una più difficoltosa presa in carico di pazienti portatori di altre patologie (non-COVID), anche importanti, che finiscono a volte con l’essere penalizzati. </w:t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Mentre questo problema è facilmente percepibile a livello di organizzazione ospedaliera per patologie acute o urgenti, meno noto è il possibile impatto della pandemia sul grande numero di pazienti che soffrono di patologie croniche, altrettanto potenzialmente rilevanti. </w:t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Una risposta a questo quesito viene da una recente ricerca di un gruppo di lavoro cui hanno attivamente contribuito i Professori 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Giuseppe Ambrosio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> e 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 xml:space="preserve">Paolo </w:t>
      </w:r>
      <w:proofErr w:type="spellStart"/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Reboldi</w:t>
      </w:r>
      <w:proofErr w:type="spellEnd"/>
      <w:r>
        <w:rPr>
          <w:rFonts w:ascii="Arial" w:hAnsi="Arial" w:cs="Arial"/>
          <w:sz w:val="20"/>
          <w:szCs w:val="20"/>
          <w:bdr w:val="none" w:sz="0" w:space="0" w:color="auto" w:frame="1"/>
        </w:rPr>
        <w:t>, del 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Centro di Ricerca Clinica e Traslazionale – CERICLET 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>del 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Dipartimento di Medicina e Chirurgia 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>dell’Università degli Studi di Perugia. 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Insieme ai colleghi di altri Centri, i ricercatori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Unipg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hanno analizzato l’intero Registro Nazionale istituito da AIFA per monitorare le prescrizioni di farmaci anticoagulanti, indispensabili per il trattamento di patologie assai rilevanti, quali la fibrillazione atriale e la trombosi venosa, per prevenire il rischio di embolie gravi e potenzialmente fatali. </w:t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La ricerca, pubblicata sulla prestigiosa rivista </w:t>
      </w:r>
      <w:proofErr w:type="spellStart"/>
      <w:r>
        <w:rPr>
          <w:rFonts w:ascii="Arial" w:hAnsi="Arial" w:cs="Arial"/>
          <w:i/>
          <w:iCs/>
          <w:sz w:val="20"/>
          <w:szCs w:val="20"/>
          <w:bdr w:val="none" w:sz="0" w:space="0" w:color="auto" w:frame="1"/>
        </w:rPr>
        <w:t>European</w:t>
      </w:r>
      <w:proofErr w:type="spellEnd"/>
      <w:r>
        <w:rPr>
          <w:rFonts w:ascii="Arial" w:hAnsi="Arial" w:cs="Arial"/>
          <w:i/>
          <w:iCs/>
          <w:sz w:val="20"/>
          <w:szCs w:val="20"/>
          <w:bdr w:val="none" w:sz="0" w:space="0" w:color="auto" w:frame="1"/>
        </w:rPr>
        <w:t xml:space="preserve"> Journal of Preventive </w:t>
      </w:r>
      <w:proofErr w:type="spellStart"/>
      <w:r>
        <w:rPr>
          <w:rFonts w:ascii="Arial" w:hAnsi="Arial" w:cs="Arial"/>
          <w:i/>
          <w:iCs/>
          <w:sz w:val="20"/>
          <w:szCs w:val="20"/>
          <w:bdr w:val="none" w:sz="0" w:space="0" w:color="auto" w:frame="1"/>
        </w:rPr>
        <w:t>Cardiology</w:t>
      </w:r>
      <w:proofErr w:type="spellEnd"/>
      <w:r>
        <w:rPr>
          <w:rFonts w:ascii="Arial" w:hAnsi="Arial" w:cs="Arial"/>
          <w:sz w:val="20"/>
          <w:szCs w:val="20"/>
          <w:bdr w:val="none" w:sz="0" w:space="0" w:color="auto" w:frame="1"/>
        </w:rPr>
        <w:t>, organo ufficiale della Società Europea di Cardiologia, ha dimostrato che durante il picco della pandemia da COVID-19 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le prescrizioni di farmaci anticoagulanti in Italia sono drasticamente diminuite, di oltre il 60%. 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>Questo dato eclatante è stato rilevato sull’intera popolazione italiana che normalmente accede a queste cure (oltre 1.5 milioni di pazienti), e si è mostrato particolarmente eclatante nelle classi di età più avanzate. </w:t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proofErr w:type="gramStart"/>
      <w:r>
        <w:rPr>
          <w:rFonts w:ascii="Arial" w:hAnsi="Arial" w:cs="Arial"/>
          <w:sz w:val="20"/>
          <w:szCs w:val="20"/>
          <w:bdr w:val="none" w:sz="0" w:space="0" w:color="auto" w:frame="1"/>
        </w:rPr>
        <w:t>E’</w:t>
      </w:r>
      <w:proofErr w:type="gramEnd"/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 di immediata evidenza come la mancata prescrizione di farmaci così importanti abbia esposto quei pazienti ad un rischio molto maggiore di complicanze gravi, e potenzialmente fatali. </w:t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Tra le spiegazioni più immediate di questo dato gli Autori segnalano come durante il picco pandemico sia nettamente diminuito l’accesso - soprattutto dei soggetti anziani - alle visite mediche. Tale fenomeno, verosimilmente, è conseguenza da un lato della drastica diminuzione della disponibilità di accessi ambulatoriali, dovuta al sovvertimento dei percorsi di cura all’interno degli ospedali causato dalla emergenza COVID-19; dall’altro, è anche possibile che molti pazienti abbiano avuto difficoltà di accesso ai controlli medici, per timore del contagio oppure, specie gli anziani, per le difficoltà di spostamento durante il </w:t>
      </w:r>
      <w:proofErr w:type="spellStart"/>
      <w:r>
        <w:rPr>
          <w:rFonts w:ascii="Arial" w:hAnsi="Arial" w:cs="Arial"/>
          <w:sz w:val="20"/>
          <w:szCs w:val="20"/>
          <w:bdr w:val="none" w:sz="0" w:space="0" w:color="auto" w:frame="1"/>
        </w:rPr>
        <w:t>lockdown</w:t>
      </w:r>
      <w:proofErr w:type="spellEnd"/>
      <w:r>
        <w:rPr>
          <w:rFonts w:ascii="Arial" w:hAnsi="Arial" w:cs="Arial"/>
          <w:sz w:val="20"/>
          <w:szCs w:val="20"/>
          <w:bdr w:val="none" w:sz="0" w:space="0" w:color="auto" w:frame="1"/>
        </w:rPr>
        <w:t>. </w:t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I risultati dello studio documentano, quindi, in maniera precisa e su tutto il territorio italiano, l’impatto negativo del COVID-19 su alcune patologie croniche di grande rilievo. Ulteriori approfondimenti sono in 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lastRenderedPageBreak/>
        <w:t>corso per verificare se, come purtroppo intuibile, questo problema sia presente anche per altre gravi patologie croniche. </w:t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br/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br/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*********************</w:t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n-US"/>
        </w:rPr>
        <w:t>Onder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n-US"/>
        </w:rPr>
        <w:t xml:space="preserve">, G.,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n-US"/>
        </w:rPr>
        <w:t>Olimpieri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n-US"/>
        </w:rPr>
        <w:t xml:space="preserve">, P.P.,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n-US"/>
        </w:rPr>
        <w:t>Celant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n-US"/>
        </w:rPr>
        <w:t xml:space="preserve">, S., Di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n-US"/>
        </w:rPr>
        <w:t>Lenarda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n-US"/>
        </w:rPr>
        <w:t xml:space="preserve">, A., Ambrosio, G.,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n-US"/>
        </w:rPr>
        <w:t>Reboldi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n-US"/>
        </w:rPr>
        <w:t xml:space="preserve">, G.,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n-US"/>
        </w:rPr>
        <w:t>Gensini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n-US"/>
        </w:rPr>
        <w:t xml:space="preserve">, G., Colatrella, A., Palmer, K.,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n-US"/>
        </w:rPr>
        <w:t>Gabrielli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n-US"/>
        </w:rPr>
        <w:t>, D., Russo, P., (2021), Under-prescription of direct oral anticoagulants for treatment of non-valvular atrial fibrillation and venous thromboembolism in the COVID-19 lockdown period. </w:t>
      </w:r>
      <w:r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lang w:val="en-US"/>
        </w:rPr>
        <w:t>European Journal of Preventive Cardiology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n-US"/>
        </w:rPr>
        <w:t>, June 21.  </w:t>
      </w:r>
    </w:p>
    <w:p w:rsidR="008B1229" w:rsidRDefault="008B1229" w:rsidP="008B1229">
      <w:pPr>
        <w:pStyle w:val="Titolo1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b w:val="0"/>
          <w:bCs w:val="0"/>
          <w:sz w:val="20"/>
          <w:szCs w:val="20"/>
          <w:bdr w:val="none" w:sz="0" w:space="0" w:color="auto" w:frame="1"/>
          <w:lang w:val="en-US"/>
        </w:rPr>
        <w:t> </w:t>
      </w:r>
    </w:p>
    <w:p w:rsidR="008B1229" w:rsidRDefault="008B1229" w:rsidP="008B1229">
      <w:pPr>
        <w:pStyle w:val="NormaleWeb"/>
        <w:shd w:val="clear" w:color="auto" w:fill="FFFFFF"/>
        <w:spacing w:before="0" w:beforeAutospacing="0" w:after="0" w:afterAutospacing="0" w:line="276" w:lineRule="atLeast"/>
      </w:pP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t>Disponibile ai link: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8B1229" w:rsidRDefault="008B1229" w:rsidP="008B1229">
      <w:pPr>
        <w:pStyle w:val="NormaleWeb"/>
        <w:shd w:val="clear" w:color="auto" w:fill="FFFFFF"/>
        <w:spacing w:before="0" w:beforeAutospacing="0" w:after="0" w:afterAutospacing="0" w:line="276" w:lineRule="atLeast"/>
      </w:pPr>
      <w:hyperlink r:id="rId8" w:tgtFrame="_blank" w:history="1">
        <w:r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</w:rPr>
          <w:t>https://www.ncbi.nlm.nih.gov/pmc/articles/pmid/34151366/</w:t>
        </w:r>
      </w:hyperlink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8B1229" w:rsidRDefault="008B1229" w:rsidP="008B1229">
      <w:pPr>
        <w:pStyle w:val="NormaleWeb"/>
        <w:shd w:val="clear" w:color="auto" w:fill="FFFFFF"/>
        <w:spacing w:before="0" w:beforeAutospacing="0" w:after="0" w:afterAutospacing="0" w:line="276" w:lineRule="atLeast"/>
      </w:pPr>
      <w:hyperlink r:id="rId9" w:tgtFrame="_blank" w:history="1">
        <w:r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</w:rPr>
          <w:t>https://academic.oup.com/eurjpc/article-lookup/doi/10.1093/eurjpc/zwab096</w:t>
        </w:r>
      </w:hyperlink>
    </w:p>
    <w:p w:rsidR="008B1229" w:rsidRDefault="008B1229" w:rsidP="008B1229">
      <w:pPr>
        <w:pStyle w:val="NormaleWeb"/>
        <w:shd w:val="clear" w:color="auto" w:fill="FFFFFF"/>
        <w:spacing w:before="0" w:beforeAutospacing="0" w:after="0" w:afterAutospacing="0" w:line="276" w:lineRule="atLeast"/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hyperlink r:id="rId10" w:tgtFrame="_blank" w:history="1">
        <w:r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  <w:lang w:val="en-US"/>
          </w:rPr>
          <w:t>https://doi.org/10.1093/eurjpc/zwab096</w:t>
        </w:r>
      </w:hyperlink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n-US"/>
        </w:rPr>
        <w:t> </w:t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r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> </w:t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en-US"/>
        </w:rPr>
        <w:br/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en-US"/>
        </w:rPr>
        <w:t xml:space="preserve">Perugia, 15 </w:t>
      </w:r>
      <w:proofErr w:type="spellStart"/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en-US"/>
        </w:rPr>
        <w:t>settembre</w:t>
      </w:r>
      <w:proofErr w:type="spellEnd"/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en-US"/>
        </w:rPr>
        <w:t xml:space="preserve"> 2021</w:t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en-US"/>
        </w:rPr>
        <w:br/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</w:p>
    <w:p w:rsidR="008B1229" w:rsidRDefault="008B1229" w:rsidP="008B1229">
      <w:pPr>
        <w:pStyle w:val="Titolo1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b w:val="0"/>
          <w:bCs w:val="0"/>
          <w:sz w:val="20"/>
          <w:szCs w:val="20"/>
          <w:bdr w:val="none" w:sz="0" w:space="0" w:color="auto" w:frame="1"/>
          <w:lang w:val="en-US"/>
        </w:rPr>
        <w:t> ************************************</w:t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  <w:shd w:val="clear" w:color="auto" w:fill="FFFF00"/>
        </w:rPr>
        <w:t>Contatto per le redazioni, da non pubblicare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 </w:t>
      </w:r>
    </w:p>
    <w:p w:rsidR="008B1229" w:rsidRDefault="008B1229" w:rsidP="008B1229">
      <w:pPr>
        <w:pStyle w:val="NormaleWeb"/>
        <w:spacing w:before="0" w:beforeAutospacing="0" w:after="0" w:afterAutospacing="0" w:line="276" w:lineRule="atLeast"/>
      </w:pP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 </w:t>
      </w:r>
    </w:p>
    <w:p w:rsidR="008B1229" w:rsidRDefault="008B1229" w:rsidP="008B1229">
      <w:pPr>
        <w:pStyle w:val="NormaleWeb"/>
        <w:shd w:val="clear" w:color="auto" w:fill="FFFFFF"/>
        <w:spacing w:before="0" w:beforeAutospacing="0" w:after="0" w:afterAutospacing="0" w:line="276" w:lineRule="atLeast"/>
      </w:pPr>
      <w:r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>Prof. Giuseppe Ambrosio </w:t>
      </w:r>
    </w:p>
    <w:p w:rsidR="008B1229" w:rsidRDefault="008B1229" w:rsidP="008B1229">
      <w:pPr>
        <w:pStyle w:val="NormaleWeb"/>
        <w:shd w:val="clear" w:color="auto" w:fill="FFFFFF"/>
        <w:spacing w:before="0" w:beforeAutospacing="0" w:after="0" w:afterAutospacing="0" w:line="276" w:lineRule="atLeast"/>
      </w:pPr>
      <w:hyperlink r:id="rId11" w:tgtFrame="_blank" w:history="1">
        <w:r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  <w:lang w:val="en-US"/>
          </w:rPr>
          <w:t>giuseppe.ambrosio@unipg.it</w:t>
        </w:r>
      </w:hyperlink>
      <w:r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> </w:t>
      </w:r>
    </w:p>
    <w:p w:rsidR="008B1229" w:rsidRDefault="008B1229" w:rsidP="008B1229">
      <w:pPr>
        <w:pStyle w:val="NormaleWeb"/>
        <w:shd w:val="clear" w:color="auto" w:fill="FFFFFF"/>
        <w:spacing w:before="0" w:beforeAutospacing="0" w:after="0" w:afterAutospacing="0" w:line="276" w:lineRule="atLeast"/>
      </w:pPr>
      <w:r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>Tel. +39 </w:t>
      </w:r>
      <w:hyperlink r:id="rId12" w:tgtFrame="_blank" w:history="1">
        <w:r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  <w:lang w:val="en-US"/>
          </w:rPr>
          <w:t>0755271509</w:t>
        </w:r>
      </w:hyperlink>
      <w:r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>                               </w:t>
      </w:r>
    </w:p>
    <w:p w:rsidR="008B1229" w:rsidRDefault="008B1229" w:rsidP="008B1229">
      <w:pPr>
        <w:pStyle w:val="NormaleWeb"/>
        <w:shd w:val="clear" w:color="auto" w:fill="FFFFFF"/>
        <w:spacing w:before="0" w:beforeAutospacing="0" w:after="0" w:afterAutospacing="0" w:line="276" w:lineRule="atLeast"/>
      </w:pPr>
      <w:r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>Cell. +39   338 6100198 </w:t>
      </w:r>
    </w:p>
    <w:p w:rsidR="008B1229" w:rsidRDefault="008B1229" w:rsidP="008B1229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color w:val="000000"/>
        </w:rPr>
      </w:pPr>
    </w:p>
    <w:p w:rsidR="00A97116" w:rsidRPr="00692B51" w:rsidRDefault="00A97116" w:rsidP="00692B51">
      <w:pPr>
        <w:pStyle w:val="NormaleWeb"/>
        <w:shd w:val="clear" w:color="auto" w:fill="FFFFFF"/>
        <w:spacing w:before="0" w:beforeAutospacing="0" w:after="0" w:afterAutospacing="0" w:line="240" w:lineRule="auto"/>
        <w:jc w:val="center"/>
        <w:rPr>
          <w:rFonts w:ascii="Arial" w:hAnsi="Arial" w:cs="Arial"/>
          <w:sz w:val="20"/>
          <w:szCs w:val="20"/>
        </w:rPr>
      </w:pPr>
    </w:p>
    <w:sectPr w:rsidR="00A97116" w:rsidRPr="00692B51" w:rsidSect="00A9711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6D36" w:rsidRDefault="00896D36" w:rsidP="00A97116">
      <w:r>
        <w:separator/>
      </w:r>
    </w:p>
  </w:endnote>
  <w:endnote w:type="continuationSeparator" w:id="0">
    <w:p w:rsidR="00896D36" w:rsidRDefault="00896D36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variable"/>
    <w:sig w:usb0="A00002AF" w:usb1="5000214A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A942A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6D36" w:rsidRDefault="00896D36" w:rsidP="00A97116">
      <w:r>
        <w:separator/>
      </w:r>
    </w:p>
  </w:footnote>
  <w:footnote w:type="continuationSeparator" w:id="0">
    <w:p w:rsidR="00896D36" w:rsidRDefault="00896D36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8B12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8B12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width-percent:0;mso-height-percent:0;mso-position-horizontal:absolute;mso-position-horizontal-relative:margin;mso-position-vertical:absolute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8B12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72862"/>
    <w:rsid w:val="00090736"/>
    <w:rsid w:val="00097E70"/>
    <w:rsid w:val="000A005B"/>
    <w:rsid w:val="000A03D9"/>
    <w:rsid w:val="000B64BF"/>
    <w:rsid w:val="000C0841"/>
    <w:rsid w:val="000D7C00"/>
    <w:rsid w:val="000F5C34"/>
    <w:rsid w:val="001127B2"/>
    <w:rsid w:val="0012138C"/>
    <w:rsid w:val="00144CBA"/>
    <w:rsid w:val="001572BD"/>
    <w:rsid w:val="0017649F"/>
    <w:rsid w:val="00176A81"/>
    <w:rsid w:val="001842B2"/>
    <w:rsid w:val="001A2372"/>
    <w:rsid w:val="001A23BB"/>
    <w:rsid w:val="001A2E47"/>
    <w:rsid w:val="001A6135"/>
    <w:rsid w:val="001C01BB"/>
    <w:rsid w:val="002004F4"/>
    <w:rsid w:val="002025D3"/>
    <w:rsid w:val="00206672"/>
    <w:rsid w:val="00232CAD"/>
    <w:rsid w:val="0025020C"/>
    <w:rsid w:val="00262D04"/>
    <w:rsid w:val="0026695B"/>
    <w:rsid w:val="0027576C"/>
    <w:rsid w:val="002D0BF6"/>
    <w:rsid w:val="002D2F55"/>
    <w:rsid w:val="00381E62"/>
    <w:rsid w:val="003A2B60"/>
    <w:rsid w:val="003D1321"/>
    <w:rsid w:val="003D517F"/>
    <w:rsid w:val="003F3860"/>
    <w:rsid w:val="004235BD"/>
    <w:rsid w:val="00465384"/>
    <w:rsid w:val="0048785E"/>
    <w:rsid w:val="004B6CC2"/>
    <w:rsid w:val="004D6941"/>
    <w:rsid w:val="004E1B89"/>
    <w:rsid w:val="005226C4"/>
    <w:rsid w:val="0054363F"/>
    <w:rsid w:val="00555F10"/>
    <w:rsid w:val="005A1872"/>
    <w:rsid w:val="005E02F1"/>
    <w:rsid w:val="00602DF4"/>
    <w:rsid w:val="00633B80"/>
    <w:rsid w:val="0063667F"/>
    <w:rsid w:val="00636E0F"/>
    <w:rsid w:val="00637416"/>
    <w:rsid w:val="00662515"/>
    <w:rsid w:val="00670ADA"/>
    <w:rsid w:val="00672948"/>
    <w:rsid w:val="00675D5B"/>
    <w:rsid w:val="00692B51"/>
    <w:rsid w:val="006E6D10"/>
    <w:rsid w:val="006F5E39"/>
    <w:rsid w:val="00732CD6"/>
    <w:rsid w:val="00740298"/>
    <w:rsid w:val="00743734"/>
    <w:rsid w:val="00752EF6"/>
    <w:rsid w:val="00770F27"/>
    <w:rsid w:val="00772858"/>
    <w:rsid w:val="007751D5"/>
    <w:rsid w:val="00787963"/>
    <w:rsid w:val="007959A3"/>
    <w:rsid w:val="007D2872"/>
    <w:rsid w:val="00840494"/>
    <w:rsid w:val="008478EC"/>
    <w:rsid w:val="0086725D"/>
    <w:rsid w:val="008744D4"/>
    <w:rsid w:val="00896D36"/>
    <w:rsid w:val="008B1229"/>
    <w:rsid w:val="008C24C4"/>
    <w:rsid w:val="008F46A2"/>
    <w:rsid w:val="009213D0"/>
    <w:rsid w:val="00925199"/>
    <w:rsid w:val="009417C4"/>
    <w:rsid w:val="00950C59"/>
    <w:rsid w:val="00967BEE"/>
    <w:rsid w:val="00977A1D"/>
    <w:rsid w:val="009835E5"/>
    <w:rsid w:val="009A4F67"/>
    <w:rsid w:val="009A7396"/>
    <w:rsid w:val="009B29F4"/>
    <w:rsid w:val="009D0961"/>
    <w:rsid w:val="009D5AC7"/>
    <w:rsid w:val="009F3FED"/>
    <w:rsid w:val="00A0325A"/>
    <w:rsid w:val="00A04371"/>
    <w:rsid w:val="00A04B8B"/>
    <w:rsid w:val="00A05719"/>
    <w:rsid w:val="00A144A5"/>
    <w:rsid w:val="00A22995"/>
    <w:rsid w:val="00A5116C"/>
    <w:rsid w:val="00A80657"/>
    <w:rsid w:val="00A92759"/>
    <w:rsid w:val="00A92C74"/>
    <w:rsid w:val="00A942A5"/>
    <w:rsid w:val="00A97116"/>
    <w:rsid w:val="00AA752B"/>
    <w:rsid w:val="00AB0FBA"/>
    <w:rsid w:val="00AC6EA7"/>
    <w:rsid w:val="00AE4740"/>
    <w:rsid w:val="00AF4C27"/>
    <w:rsid w:val="00AF7F68"/>
    <w:rsid w:val="00B30013"/>
    <w:rsid w:val="00B614BC"/>
    <w:rsid w:val="00B7244A"/>
    <w:rsid w:val="00B8408A"/>
    <w:rsid w:val="00B87DDA"/>
    <w:rsid w:val="00BA011A"/>
    <w:rsid w:val="00BE7104"/>
    <w:rsid w:val="00BE76A6"/>
    <w:rsid w:val="00C163D4"/>
    <w:rsid w:val="00C3322F"/>
    <w:rsid w:val="00C45593"/>
    <w:rsid w:val="00C9046D"/>
    <w:rsid w:val="00CA65A5"/>
    <w:rsid w:val="00CC3B68"/>
    <w:rsid w:val="00CD2D1F"/>
    <w:rsid w:val="00CE5BCD"/>
    <w:rsid w:val="00D200F4"/>
    <w:rsid w:val="00D52651"/>
    <w:rsid w:val="00E06ECB"/>
    <w:rsid w:val="00E22733"/>
    <w:rsid w:val="00E26B5A"/>
    <w:rsid w:val="00E3478D"/>
    <w:rsid w:val="00E57A8C"/>
    <w:rsid w:val="00E6071E"/>
    <w:rsid w:val="00E63C29"/>
    <w:rsid w:val="00E736EA"/>
    <w:rsid w:val="00E91778"/>
    <w:rsid w:val="00EC22B1"/>
    <w:rsid w:val="00EC759F"/>
    <w:rsid w:val="00EF655E"/>
    <w:rsid w:val="00F33A51"/>
    <w:rsid w:val="00F63E73"/>
    <w:rsid w:val="00F92026"/>
    <w:rsid w:val="00FA4D90"/>
    <w:rsid w:val="00FA5D01"/>
    <w:rsid w:val="00FB3B55"/>
    <w:rsid w:val="00FE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B3545430-EA11-407B-87F0-F9C002B3D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TableNormal">
    <w:name w:val="Table Normal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character" w:styleId="Enfasicorsivo">
    <w:name w:val="Emphasis"/>
    <w:basedOn w:val="Carpredefinitoparagrafo"/>
    <w:uiPriority w:val="20"/>
    <w:qFormat/>
    <w:rsid w:val="00E63C29"/>
    <w:rPr>
      <w:i/>
      <w:iCs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090736"/>
    <w:rPr>
      <w:color w:val="605E5C"/>
      <w:shd w:val="clear" w:color="auto" w:fill="E1DFDD"/>
    </w:rPr>
  </w:style>
  <w:style w:type="character" w:customStyle="1" w:styleId="al-author-name">
    <w:name w:val="al-author-name"/>
    <w:basedOn w:val="Carpredefinitoparagrafo"/>
    <w:rsid w:val="00675D5B"/>
  </w:style>
  <w:style w:type="character" w:customStyle="1" w:styleId="delimiter">
    <w:name w:val="delimiter"/>
    <w:basedOn w:val="Carpredefinitoparagrafo"/>
    <w:rsid w:val="00675D5B"/>
  </w:style>
  <w:style w:type="character" w:customStyle="1" w:styleId="al-author-name-more">
    <w:name w:val="al-author-name-more"/>
    <w:basedOn w:val="Carpredefinitoparagrafo"/>
    <w:rsid w:val="00675D5B"/>
  </w:style>
  <w:style w:type="paragraph" w:customStyle="1" w:styleId="xxxmsonormal">
    <w:name w:val="x_x_x_msonormal"/>
    <w:basedOn w:val="Normale"/>
    <w:rsid w:val="00A942A5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702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14790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82617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56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9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0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45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8281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3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78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971848">
          <w:marLeft w:val="0"/>
          <w:marRight w:val="0"/>
          <w:marTop w:val="165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8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855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6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mc/articles/pmid/34151366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tel:0755271509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iuseppe.ambrosio@unipg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doi.org/10.1093/eurjpc/zwab096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cademic.oup.com/eurjpc/article-lookup/doi/10.1093/eurjpc/zwab096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2175224-1A3B-41FA-A109-552B68275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2</cp:revision>
  <cp:lastPrinted>2021-09-13T12:59:00Z</cp:lastPrinted>
  <dcterms:created xsi:type="dcterms:W3CDTF">2021-09-16T07:07:00Z</dcterms:created>
  <dcterms:modified xsi:type="dcterms:W3CDTF">2021-09-16T07:07:00Z</dcterms:modified>
</cp:coreProperties>
</file>