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B473B" w14:textId="75DAD251" w:rsidR="004E2E18" w:rsidRPr="004E2E18" w:rsidRDefault="004E2E18" w:rsidP="004E2E18">
      <w:pPr>
        <w:pStyle w:val="NormaleWeb"/>
        <w:spacing w:before="120" w:beforeAutospacing="0" w:after="120" w:afterAutospacing="0" w:line="160" w:lineRule="atLeast"/>
        <w:jc w:val="right"/>
        <w:rPr>
          <w:rFonts w:ascii="Work Sans" w:hAnsi="Work Sans" w:cstheme="minorHAnsi"/>
          <w:b/>
          <w:color w:val="1F497D" w:themeColor="text2"/>
          <w:sz w:val="22"/>
          <w:szCs w:val="22"/>
        </w:rPr>
      </w:pPr>
      <w:bookmarkStart w:id="0" w:name="_Hlk90898529"/>
      <w:r w:rsidRPr="004E2E18">
        <w:rPr>
          <w:rFonts w:ascii="Work Sans" w:hAnsi="Work Sans" w:cstheme="minorHAnsi"/>
          <w:b/>
          <w:color w:val="1F497D" w:themeColor="text2"/>
          <w:sz w:val="22"/>
          <w:szCs w:val="22"/>
        </w:rPr>
        <w:t>Allegato 6</w:t>
      </w:r>
    </w:p>
    <w:p w14:paraId="6196D257" w14:textId="3E70BCE4" w:rsidR="00E85F80" w:rsidRDefault="001C1035" w:rsidP="00E85F80">
      <w:pPr>
        <w:pStyle w:val="NormaleWeb"/>
        <w:spacing w:before="120" w:beforeAutospacing="0" w:after="120" w:afterAutospacing="0" w:line="160" w:lineRule="atLeast"/>
        <w:jc w:val="center"/>
        <w:rPr>
          <w:rFonts w:ascii="Work Sans" w:hAnsi="Work Sans" w:cstheme="minorHAnsi"/>
          <w:b/>
          <w:color w:val="1F497D" w:themeColor="text2"/>
          <w:sz w:val="26"/>
          <w:szCs w:val="26"/>
        </w:rPr>
      </w:pPr>
      <w:r>
        <w:rPr>
          <w:rFonts w:ascii="Work Sans" w:hAnsi="Work Sans" w:cstheme="minorHAnsi"/>
          <w:b/>
          <w:color w:val="1F497D" w:themeColor="text2"/>
          <w:sz w:val="26"/>
          <w:szCs w:val="26"/>
        </w:rPr>
        <w:t>GUIDA SULLA NATURA DELLO STUDIO</w:t>
      </w:r>
    </w:p>
    <w:p w14:paraId="3DF034F1" w14:textId="61E07CCB" w:rsidR="009A7036" w:rsidRDefault="009A7036" w:rsidP="00E85F80">
      <w:pPr>
        <w:pStyle w:val="NormaleWeb"/>
        <w:spacing w:before="120" w:beforeAutospacing="0" w:after="120" w:afterAutospacing="0" w:line="160" w:lineRule="atLeast"/>
        <w:jc w:val="center"/>
        <w:rPr>
          <w:rFonts w:ascii="Work Sans" w:hAnsi="Work Sans" w:cstheme="minorHAnsi"/>
          <w:b/>
          <w:color w:val="1F497D" w:themeColor="text2"/>
          <w:sz w:val="26"/>
          <w:szCs w:val="26"/>
        </w:rPr>
      </w:pPr>
    </w:p>
    <w:p w14:paraId="490F079F" w14:textId="3CE902E2" w:rsidR="001C1035" w:rsidRPr="00B2475E" w:rsidRDefault="001C1035" w:rsidP="001C1035">
      <w:pPr>
        <w:spacing w:line="360" w:lineRule="auto"/>
        <w:jc w:val="both"/>
        <w:rPr>
          <w:rFonts w:ascii="Work Sans" w:hAnsi="Work Sans"/>
        </w:rPr>
      </w:pPr>
      <w:r w:rsidRPr="00B2475E">
        <w:rPr>
          <w:rFonts w:ascii="Work Sans" w:hAnsi="Work Sans"/>
        </w:rPr>
        <w:t xml:space="preserve">Ai fini della presentazione di un progetto, non necessariamente finanziato, al Comitato Universitario di Bioetica dell’Università degli Studi di Perugia, sarà cura del proponente definire la natura dello studio da analizzare. </w:t>
      </w:r>
    </w:p>
    <w:p w14:paraId="78F8A0E3" w14:textId="77777777" w:rsidR="001C1035" w:rsidRPr="00B2475E" w:rsidRDefault="001C1035" w:rsidP="001C1035">
      <w:pPr>
        <w:spacing w:line="360" w:lineRule="auto"/>
        <w:jc w:val="both"/>
        <w:rPr>
          <w:rFonts w:ascii="Work Sans" w:hAnsi="Work Sans"/>
        </w:rPr>
      </w:pPr>
      <w:r w:rsidRPr="00B2475E">
        <w:rPr>
          <w:rFonts w:ascii="Work Sans" w:hAnsi="Work Sans"/>
        </w:rPr>
        <w:t xml:space="preserve">Si propone quindi la seguente classificazione semplificata, basata su: </w:t>
      </w:r>
    </w:p>
    <w:p w14:paraId="75412B08" w14:textId="77777777" w:rsidR="001C1035" w:rsidRPr="00B2475E" w:rsidRDefault="001C1035" w:rsidP="00B2475E">
      <w:pPr>
        <w:pStyle w:val="Paragrafoelenco"/>
        <w:numPr>
          <w:ilvl w:val="0"/>
          <w:numId w:val="3"/>
        </w:numPr>
        <w:spacing w:line="360" w:lineRule="auto"/>
        <w:ind w:left="2268" w:firstLine="0"/>
        <w:jc w:val="both"/>
        <w:rPr>
          <w:rFonts w:ascii="Work Sans" w:hAnsi="Work Sans"/>
          <w:sz w:val="24"/>
          <w:szCs w:val="24"/>
        </w:rPr>
      </w:pPr>
      <w:r w:rsidRPr="00B2475E">
        <w:rPr>
          <w:rFonts w:ascii="Work Sans" w:hAnsi="Work Sans"/>
          <w:sz w:val="24"/>
          <w:szCs w:val="24"/>
        </w:rPr>
        <w:t>DL 211/2003</w:t>
      </w:r>
    </w:p>
    <w:p w14:paraId="601CDACC" w14:textId="77777777" w:rsidR="001C1035" w:rsidRPr="00B2475E" w:rsidRDefault="001C1035" w:rsidP="00B2475E">
      <w:pPr>
        <w:pStyle w:val="Paragrafoelenco"/>
        <w:numPr>
          <w:ilvl w:val="0"/>
          <w:numId w:val="3"/>
        </w:numPr>
        <w:spacing w:line="360" w:lineRule="auto"/>
        <w:ind w:left="2268" w:firstLine="0"/>
        <w:jc w:val="both"/>
        <w:rPr>
          <w:rFonts w:ascii="Work Sans" w:hAnsi="Work Sans"/>
          <w:sz w:val="24"/>
          <w:szCs w:val="24"/>
        </w:rPr>
      </w:pPr>
      <w:r w:rsidRPr="00B2475E">
        <w:rPr>
          <w:rFonts w:ascii="Work Sans" w:hAnsi="Work Sans"/>
          <w:sz w:val="24"/>
          <w:szCs w:val="24"/>
        </w:rPr>
        <w:t>Linee Guida AIFA 20.03.2008</w:t>
      </w:r>
    </w:p>
    <w:p w14:paraId="4E02BEEB" w14:textId="77777777" w:rsidR="001C1035" w:rsidRPr="00B2475E" w:rsidRDefault="001C1035" w:rsidP="00B2475E">
      <w:pPr>
        <w:pStyle w:val="Paragrafoelenco"/>
        <w:numPr>
          <w:ilvl w:val="0"/>
          <w:numId w:val="3"/>
        </w:numPr>
        <w:spacing w:line="360" w:lineRule="auto"/>
        <w:ind w:left="2268" w:firstLine="0"/>
        <w:jc w:val="both"/>
        <w:rPr>
          <w:rFonts w:ascii="Work Sans" w:hAnsi="Work Sans"/>
          <w:sz w:val="24"/>
          <w:szCs w:val="24"/>
        </w:rPr>
      </w:pPr>
      <w:r w:rsidRPr="00B2475E">
        <w:rPr>
          <w:rFonts w:ascii="Work Sans" w:hAnsi="Work Sans"/>
          <w:sz w:val="24"/>
          <w:szCs w:val="24"/>
        </w:rPr>
        <w:t>Reg EU. 536/2014</w:t>
      </w:r>
    </w:p>
    <w:p w14:paraId="24D1F790" w14:textId="1700DEF1" w:rsidR="001C1035" w:rsidRDefault="001C1035" w:rsidP="00045ABB">
      <w:pPr>
        <w:pStyle w:val="Paragrafoelenco"/>
        <w:numPr>
          <w:ilvl w:val="0"/>
          <w:numId w:val="3"/>
        </w:numPr>
        <w:spacing w:line="360" w:lineRule="auto"/>
        <w:ind w:left="2268" w:firstLine="0"/>
        <w:jc w:val="both"/>
        <w:rPr>
          <w:rFonts w:ascii="Work Sans" w:hAnsi="Work Sans"/>
          <w:sz w:val="24"/>
          <w:szCs w:val="24"/>
        </w:rPr>
      </w:pPr>
      <w:r w:rsidRPr="00B2475E">
        <w:rPr>
          <w:rFonts w:ascii="Work Sans" w:hAnsi="Work Sans"/>
          <w:sz w:val="24"/>
          <w:szCs w:val="24"/>
        </w:rPr>
        <w:t>Legge 4 /2018</w:t>
      </w:r>
    </w:p>
    <w:p w14:paraId="177573A8" w14:textId="77777777" w:rsidR="00B2475E" w:rsidRPr="00B2475E" w:rsidRDefault="00B2475E" w:rsidP="00B2475E">
      <w:pPr>
        <w:pStyle w:val="Paragrafoelenco"/>
        <w:spacing w:line="360" w:lineRule="auto"/>
        <w:ind w:left="2268"/>
        <w:jc w:val="both"/>
        <w:rPr>
          <w:rFonts w:ascii="Work Sans" w:hAnsi="Work Sans"/>
          <w:sz w:val="24"/>
          <w:szCs w:val="24"/>
        </w:rPr>
      </w:pPr>
    </w:p>
    <w:p w14:paraId="16E1220F" w14:textId="0FD0997F" w:rsidR="001C1035" w:rsidRDefault="001C1035" w:rsidP="001C1035">
      <w:pPr>
        <w:pStyle w:val="Paragrafoelenco"/>
        <w:spacing w:line="360" w:lineRule="auto"/>
        <w:ind w:left="-142"/>
        <w:jc w:val="both"/>
        <w:rPr>
          <w:rFonts w:ascii="Work Sans" w:hAnsi="Work Sans"/>
          <w:sz w:val="24"/>
          <w:szCs w:val="24"/>
        </w:rPr>
      </w:pPr>
      <w:r w:rsidRPr="00B2475E">
        <w:rPr>
          <w:rFonts w:ascii="Work Sans" w:hAnsi="Work Sans"/>
          <w:b/>
          <w:bCs/>
          <w:sz w:val="24"/>
          <w:szCs w:val="24"/>
        </w:rPr>
        <w:t xml:space="preserve">Studi </w:t>
      </w:r>
      <w:r w:rsidR="00B76B74">
        <w:rPr>
          <w:rFonts w:ascii="Work Sans" w:hAnsi="Work Sans"/>
          <w:b/>
          <w:bCs/>
          <w:sz w:val="24"/>
          <w:szCs w:val="24"/>
        </w:rPr>
        <w:t>c</w:t>
      </w:r>
      <w:r w:rsidRPr="00B2475E">
        <w:rPr>
          <w:rFonts w:ascii="Work Sans" w:hAnsi="Work Sans"/>
          <w:b/>
          <w:bCs/>
          <w:sz w:val="24"/>
          <w:szCs w:val="24"/>
        </w:rPr>
        <w:t>linici</w:t>
      </w:r>
      <w:r w:rsidRPr="00B2475E">
        <w:rPr>
          <w:rFonts w:ascii="Work Sans" w:hAnsi="Work Sans"/>
          <w:sz w:val="24"/>
          <w:szCs w:val="24"/>
        </w:rPr>
        <w:t xml:space="preserve">: riguardano lo studio di farmaci, apparati, presidi e pratiche, incluse quelle di </w:t>
      </w:r>
      <w:r w:rsidRPr="004E2E18">
        <w:rPr>
          <w:rFonts w:ascii="Work Sans" w:hAnsi="Work Sans"/>
          <w:sz w:val="24"/>
          <w:szCs w:val="24"/>
        </w:rPr>
        <w:t xml:space="preserve">natura psicologica a seguito dell’equiparazione della psicologia alle professioni mediche (Legge 4 /2018). Si dividono </w:t>
      </w:r>
      <w:r w:rsidRPr="00B2475E">
        <w:rPr>
          <w:rFonts w:ascii="Work Sans" w:hAnsi="Work Sans"/>
          <w:sz w:val="24"/>
          <w:szCs w:val="24"/>
        </w:rPr>
        <w:t xml:space="preserve">principalmente in: </w:t>
      </w:r>
    </w:p>
    <w:p w14:paraId="08C78F4B" w14:textId="77777777" w:rsidR="00B2475E" w:rsidRPr="00B2475E" w:rsidRDefault="00B2475E" w:rsidP="001C1035">
      <w:pPr>
        <w:pStyle w:val="Paragrafoelenco"/>
        <w:spacing w:line="360" w:lineRule="auto"/>
        <w:ind w:left="-142"/>
        <w:jc w:val="both"/>
        <w:rPr>
          <w:rFonts w:ascii="Work Sans" w:hAnsi="Work Sans"/>
          <w:sz w:val="24"/>
          <w:szCs w:val="24"/>
        </w:rPr>
      </w:pPr>
    </w:p>
    <w:p w14:paraId="295328F0" w14:textId="538AF7ED" w:rsidR="001C1035" w:rsidRPr="00B2475E" w:rsidRDefault="001C1035" w:rsidP="001C1035">
      <w:pPr>
        <w:pStyle w:val="Paragrafoelenco"/>
        <w:numPr>
          <w:ilvl w:val="0"/>
          <w:numId w:val="6"/>
        </w:numPr>
        <w:spacing w:line="360" w:lineRule="auto"/>
        <w:jc w:val="both"/>
        <w:rPr>
          <w:rFonts w:ascii="Work Sans" w:hAnsi="Work Sans"/>
          <w:color w:val="FF0000"/>
          <w:sz w:val="24"/>
          <w:szCs w:val="24"/>
        </w:rPr>
      </w:pPr>
      <w:r w:rsidRPr="00B2475E">
        <w:rPr>
          <w:rFonts w:ascii="Work Sans" w:hAnsi="Work Sans"/>
          <w:b/>
          <w:bCs/>
          <w:sz w:val="24"/>
          <w:szCs w:val="24"/>
        </w:rPr>
        <w:t>Studi osservazionali</w:t>
      </w:r>
      <w:r w:rsidRPr="00B2475E">
        <w:rPr>
          <w:rFonts w:ascii="Work Sans" w:hAnsi="Work Sans"/>
          <w:sz w:val="24"/>
          <w:szCs w:val="24"/>
        </w:rPr>
        <w:t>, a loro volta distinguibili in:</w:t>
      </w:r>
    </w:p>
    <w:p w14:paraId="76565594" w14:textId="78E468E0" w:rsidR="001C1035" w:rsidRPr="00B2475E" w:rsidRDefault="001C1035" w:rsidP="001C1035">
      <w:pPr>
        <w:pStyle w:val="Paragrafoelenco"/>
        <w:numPr>
          <w:ilvl w:val="7"/>
          <w:numId w:val="4"/>
        </w:numPr>
        <w:spacing w:line="360" w:lineRule="auto"/>
        <w:ind w:left="993"/>
        <w:jc w:val="both"/>
        <w:rPr>
          <w:rFonts w:ascii="Work Sans" w:hAnsi="Work Sans"/>
          <w:bCs/>
          <w:sz w:val="24"/>
          <w:szCs w:val="24"/>
        </w:rPr>
      </w:pPr>
      <w:proofErr w:type="spellStart"/>
      <w:r w:rsidRPr="00B2475E">
        <w:rPr>
          <w:rFonts w:ascii="Work Sans" w:hAnsi="Work Sans"/>
          <w:bCs/>
          <w:sz w:val="24"/>
          <w:szCs w:val="24"/>
        </w:rPr>
        <w:t>Retrospettici</w:t>
      </w:r>
      <w:proofErr w:type="spellEnd"/>
      <w:r w:rsidRPr="00B2475E">
        <w:rPr>
          <w:rFonts w:ascii="Work Sans" w:hAnsi="Work Sans"/>
          <w:bCs/>
          <w:sz w:val="24"/>
          <w:szCs w:val="24"/>
        </w:rPr>
        <w:t xml:space="preserve"> o retrospettivi;</w:t>
      </w:r>
    </w:p>
    <w:p w14:paraId="691DF929" w14:textId="6D985381" w:rsidR="001C1035" w:rsidRPr="00B2475E" w:rsidRDefault="001C1035" w:rsidP="001C1035">
      <w:pPr>
        <w:pStyle w:val="Paragrafoelenco"/>
        <w:numPr>
          <w:ilvl w:val="7"/>
          <w:numId w:val="4"/>
        </w:numPr>
        <w:spacing w:line="360" w:lineRule="auto"/>
        <w:ind w:left="993"/>
        <w:jc w:val="both"/>
        <w:rPr>
          <w:rFonts w:ascii="Work Sans" w:hAnsi="Work Sans"/>
          <w:bCs/>
          <w:sz w:val="24"/>
          <w:szCs w:val="24"/>
        </w:rPr>
      </w:pPr>
      <w:r w:rsidRPr="00B2475E">
        <w:rPr>
          <w:rFonts w:ascii="Work Sans" w:hAnsi="Work Sans"/>
          <w:bCs/>
          <w:sz w:val="24"/>
          <w:szCs w:val="24"/>
        </w:rPr>
        <w:t>Prospettici;</w:t>
      </w:r>
    </w:p>
    <w:p w14:paraId="3B9AFF7F" w14:textId="6AD0ED9C" w:rsidR="001C1035" w:rsidRDefault="001C1035" w:rsidP="001C1035">
      <w:pPr>
        <w:pStyle w:val="Paragrafoelenco"/>
        <w:spacing w:line="360" w:lineRule="auto"/>
        <w:ind w:left="-142"/>
        <w:jc w:val="both"/>
        <w:rPr>
          <w:rFonts w:ascii="Work Sans" w:hAnsi="Work Sans"/>
          <w:sz w:val="24"/>
          <w:szCs w:val="24"/>
        </w:rPr>
      </w:pPr>
      <w:r w:rsidRPr="00B2475E">
        <w:rPr>
          <w:rFonts w:ascii="Work Sans" w:hAnsi="Work Sans"/>
          <w:sz w:val="24"/>
          <w:szCs w:val="24"/>
        </w:rPr>
        <w:t>La distinzione avviene in base al rapporto fra il tempo dello studio osservazionale e quello dell’evento osservato che può essere precedente (</w:t>
      </w:r>
      <w:proofErr w:type="spellStart"/>
      <w:r w:rsidRPr="00B2475E">
        <w:rPr>
          <w:rFonts w:ascii="Work Sans" w:hAnsi="Work Sans"/>
          <w:sz w:val="24"/>
          <w:szCs w:val="24"/>
        </w:rPr>
        <w:t>retrospettici</w:t>
      </w:r>
      <w:proofErr w:type="spellEnd"/>
      <w:r w:rsidRPr="00B2475E">
        <w:rPr>
          <w:rFonts w:ascii="Work Sans" w:hAnsi="Work Sans"/>
          <w:sz w:val="24"/>
          <w:szCs w:val="24"/>
        </w:rPr>
        <w:t>) o successivo (prospettico).</w:t>
      </w:r>
    </w:p>
    <w:p w14:paraId="6C3870CE" w14:textId="77777777" w:rsidR="00B2475E" w:rsidRPr="00B2475E" w:rsidRDefault="00B2475E" w:rsidP="001C1035">
      <w:pPr>
        <w:pStyle w:val="Paragrafoelenco"/>
        <w:spacing w:line="360" w:lineRule="auto"/>
        <w:ind w:left="-142"/>
        <w:jc w:val="both"/>
        <w:rPr>
          <w:rFonts w:ascii="Work Sans" w:hAnsi="Work Sans"/>
          <w:b/>
          <w:bCs/>
          <w:sz w:val="24"/>
          <w:szCs w:val="24"/>
        </w:rPr>
      </w:pPr>
    </w:p>
    <w:p w14:paraId="32BF4472" w14:textId="079265A1" w:rsidR="00B2475E" w:rsidRPr="00B2475E" w:rsidRDefault="001C1035" w:rsidP="00B2475E">
      <w:pPr>
        <w:pStyle w:val="Paragrafoelenco"/>
        <w:numPr>
          <w:ilvl w:val="0"/>
          <w:numId w:val="6"/>
        </w:numPr>
        <w:spacing w:line="360" w:lineRule="auto"/>
        <w:jc w:val="both"/>
        <w:rPr>
          <w:rFonts w:ascii="Work Sans" w:hAnsi="Work Sans"/>
          <w:sz w:val="24"/>
          <w:szCs w:val="24"/>
        </w:rPr>
      </w:pPr>
      <w:r w:rsidRPr="00B2475E">
        <w:rPr>
          <w:rFonts w:ascii="Work Sans" w:hAnsi="Work Sans"/>
          <w:b/>
          <w:bCs/>
          <w:sz w:val="24"/>
          <w:szCs w:val="24"/>
        </w:rPr>
        <w:t>Studi clinici interventistici</w:t>
      </w:r>
      <w:r w:rsidRPr="00B2475E">
        <w:rPr>
          <w:rFonts w:ascii="Work Sans" w:hAnsi="Work Sans"/>
          <w:sz w:val="24"/>
          <w:szCs w:val="24"/>
        </w:rPr>
        <w:t xml:space="preserve">, meglio definiti come </w:t>
      </w:r>
      <w:r w:rsidRPr="00B2475E">
        <w:rPr>
          <w:rFonts w:ascii="Work Sans" w:hAnsi="Work Sans"/>
          <w:bCs/>
          <w:sz w:val="24"/>
          <w:szCs w:val="24"/>
        </w:rPr>
        <w:t>studi clinici sperimentali</w:t>
      </w:r>
      <w:r w:rsidRPr="00B2475E">
        <w:rPr>
          <w:rFonts w:ascii="Work Sans" w:hAnsi="Work Sans"/>
          <w:sz w:val="24"/>
          <w:szCs w:val="24"/>
        </w:rPr>
        <w:t>. Sono sempre prospettici e si possono suddividere a seconda della loro intensità:</w:t>
      </w:r>
    </w:p>
    <w:p w14:paraId="1C0F7ECB" w14:textId="0A0713B8" w:rsidR="001C1035" w:rsidRPr="00B2475E" w:rsidRDefault="00B2475E" w:rsidP="00B2475E">
      <w:pPr>
        <w:spacing w:line="360" w:lineRule="auto"/>
        <w:ind w:left="1800" w:hanging="1091"/>
        <w:jc w:val="both"/>
        <w:rPr>
          <w:rFonts w:ascii="Work Sans" w:hAnsi="Work Sans"/>
          <w:bCs/>
        </w:rPr>
      </w:pPr>
      <w:r w:rsidRPr="00B2475E">
        <w:rPr>
          <w:rFonts w:ascii="Work Sans" w:hAnsi="Work Sans"/>
          <w:bCs/>
        </w:rPr>
        <w:t xml:space="preserve">a. </w:t>
      </w:r>
      <w:r w:rsidR="001C1035" w:rsidRPr="00B2475E">
        <w:rPr>
          <w:rFonts w:ascii="Work Sans" w:hAnsi="Work Sans"/>
          <w:bCs/>
        </w:rPr>
        <w:t>Normali;</w:t>
      </w:r>
    </w:p>
    <w:p w14:paraId="6DC1893F" w14:textId="2DD18F9A" w:rsidR="001C1035" w:rsidRPr="00B2475E" w:rsidRDefault="001C1035" w:rsidP="00E932C0">
      <w:pPr>
        <w:pStyle w:val="Paragrafoelenco"/>
        <w:numPr>
          <w:ilvl w:val="5"/>
          <w:numId w:val="4"/>
        </w:numPr>
        <w:spacing w:line="360" w:lineRule="auto"/>
        <w:ind w:left="993" w:hanging="284"/>
        <w:jc w:val="both"/>
        <w:rPr>
          <w:rFonts w:ascii="Work Sans" w:hAnsi="Work Sans"/>
          <w:sz w:val="24"/>
          <w:szCs w:val="24"/>
        </w:rPr>
      </w:pPr>
      <w:r w:rsidRPr="00B2475E">
        <w:rPr>
          <w:rFonts w:ascii="Work Sans" w:hAnsi="Work Sans"/>
          <w:bCs/>
          <w:sz w:val="24"/>
          <w:szCs w:val="24"/>
        </w:rPr>
        <w:t>A basso livello di intervento;</w:t>
      </w:r>
    </w:p>
    <w:p w14:paraId="5B7ED744" w14:textId="77777777" w:rsidR="00B2475E" w:rsidRPr="00B2475E" w:rsidRDefault="00B2475E" w:rsidP="00B2475E">
      <w:pPr>
        <w:pStyle w:val="Paragrafoelenco"/>
        <w:spacing w:line="360" w:lineRule="auto"/>
        <w:ind w:left="993"/>
        <w:jc w:val="both"/>
        <w:rPr>
          <w:rFonts w:ascii="Work Sans" w:hAnsi="Work Sans"/>
          <w:sz w:val="24"/>
          <w:szCs w:val="24"/>
        </w:rPr>
      </w:pPr>
    </w:p>
    <w:p w14:paraId="2964B1AC" w14:textId="77777777" w:rsidR="00B2475E" w:rsidRDefault="00B2475E" w:rsidP="00B2475E">
      <w:pPr>
        <w:spacing w:line="360" w:lineRule="auto"/>
        <w:jc w:val="center"/>
        <w:rPr>
          <w:rFonts w:ascii="Work Sans" w:hAnsi="Work Sans"/>
          <w:b/>
          <w:sz w:val="22"/>
          <w:u w:val="single"/>
        </w:rPr>
      </w:pPr>
      <w:r w:rsidRPr="00B2475E">
        <w:rPr>
          <w:rFonts w:ascii="Work Sans" w:hAnsi="Work Sans"/>
          <w:b/>
          <w:sz w:val="22"/>
          <w:u w:val="single"/>
        </w:rPr>
        <w:t>SONO OSSERVAZIONALI SOLO GLI STUDI CHE RISPETTINO I SEGUENTI PRE-REQUISITI:</w:t>
      </w:r>
    </w:p>
    <w:p w14:paraId="71323739" w14:textId="6A00525D" w:rsidR="001C1035" w:rsidRPr="00B2475E" w:rsidRDefault="00B2475E" w:rsidP="00B2475E">
      <w:pPr>
        <w:spacing w:line="360" w:lineRule="auto"/>
        <w:jc w:val="both"/>
        <w:rPr>
          <w:rFonts w:ascii="Work Sans" w:hAnsi="Work Sans"/>
        </w:rPr>
      </w:pPr>
      <w:r w:rsidRPr="00B2475E">
        <w:rPr>
          <w:rFonts w:ascii="Work Sans" w:eastAsia="Calibri" w:hAnsi="Work Sans"/>
          <w:b/>
          <w:lang w:eastAsia="en-US"/>
        </w:rPr>
        <w:t>1.</w:t>
      </w:r>
      <w:r w:rsidRPr="00B2475E">
        <w:rPr>
          <w:rFonts w:ascii="Work Sans" w:hAnsi="Work Sans"/>
        </w:rPr>
        <w:t xml:space="preserve"> </w:t>
      </w:r>
      <w:r w:rsidR="001C1035" w:rsidRPr="00B2475E">
        <w:rPr>
          <w:rFonts w:ascii="Work Sans" w:hAnsi="Work Sans"/>
        </w:rPr>
        <w:t>il farmaco o comunque l’azione da sperimentare deve essere prescritta secondo le indicazioni d’uso autorizzate, in particolare per i farmaci trattasi delle prescrizioni relative</w:t>
      </w:r>
      <w:r w:rsidRPr="00B2475E">
        <w:rPr>
          <w:rFonts w:ascii="Work Sans" w:hAnsi="Work Sans"/>
        </w:rPr>
        <w:t xml:space="preserve"> al</w:t>
      </w:r>
      <w:r w:rsidR="001C1035" w:rsidRPr="00B2475E">
        <w:rPr>
          <w:rFonts w:ascii="Work Sans" w:hAnsi="Work Sans"/>
        </w:rPr>
        <w:t>l’immissione in commercio in Italia</w:t>
      </w:r>
      <w:r w:rsidRPr="00B2475E">
        <w:rPr>
          <w:rFonts w:ascii="Work Sans" w:hAnsi="Work Sans"/>
        </w:rPr>
        <w:t>;</w:t>
      </w:r>
    </w:p>
    <w:p w14:paraId="2E7D756D" w14:textId="4E9E8675" w:rsidR="001C1035" w:rsidRDefault="00B2475E" w:rsidP="00B2475E">
      <w:pPr>
        <w:spacing w:line="360" w:lineRule="auto"/>
        <w:jc w:val="both"/>
        <w:rPr>
          <w:rFonts w:ascii="Work Sans" w:eastAsia="Calibri" w:hAnsi="Work Sans"/>
          <w:lang w:eastAsia="en-US"/>
        </w:rPr>
      </w:pPr>
      <w:r>
        <w:rPr>
          <w:rFonts w:ascii="Work Sans" w:eastAsia="Calibri" w:hAnsi="Work Sans"/>
          <w:b/>
          <w:lang w:eastAsia="en-US"/>
        </w:rPr>
        <w:t xml:space="preserve">2. </w:t>
      </w:r>
      <w:r w:rsidRPr="00B2475E">
        <w:rPr>
          <w:rFonts w:ascii="Work Sans" w:eastAsia="Calibri" w:hAnsi="Work Sans"/>
          <w:lang w:eastAsia="en-US"/>
        </w:rPr>
        <w:t>l</w:t>
      </w:r>
      <w:r w:rsidR="001C1035" w:rsidRPr="00B2475E">
        <w:rPr>
          <w:rFonts w:ascii="Work Sans" w:eastAsia="Calibri" w:hAnsi="Work Sans"/>
          <w:lang w:eastAsia="en-US"/>
        </w:rPr>
        <w:t>a prescrizione del farmaco, o della terapia o della pratica in esame, deve essere parte della normale pratica clinica</w:t>
      </w:r>
      <w:r>
        <w:rPr>
          <w:rFonts w:ascii="Work Sans" w:eastAsia="Calibri" w:hAnsi="Work Sans"/>
          <w:lang w:eastAsia="en-US"/>
        </w:rPr>
        <w:t>;</w:t>
      </w:r>
    </w:p>
    <w:p w14:paraId="1E0EA9D8" w14:textId="75D1AE83" w:rsidR="001C1035" w:rsidRDefault="00B2475E" w:rsidP="00B2475E">
      <w:pPr>
        <w:spacing w:line="360" w:lineRule="auto"/>
        <w:jc w:val="both"/>
        <w:rPr>
          <w:rFonts w:ascii="Work Sans" w:hAnsi="Work Sans"/>
        </w:rPr>
      </w:pPr>
      <w:r w:rsidRPr="00B2475E">
        <w:rPr>
          <w:rFonts w:ascii="Work Sans" w:eastAsia="Calibri" w:hAnsi="Work Sans"/>
          <w:b/>
          <w:lang w:eastAsia="en-US"/>
        </w:rPr>
        <w:t>3.</w:t>
      </w:r>
      <w:r>
        <w:rPr>
          <w:rFonts w:ascii="Work Sans" w:eastAsia="Calibri" w:hAnsi="Work Sans"/>
          <w:b/>
          <w:lang w:eastAsia="en-US"/>
        </w:rPr>
        <w:t xml:space="preserve"> </w:t>
      </w:r>
      <w:r w:rsidRPr="00B2475E">
        <w:rPr>
          <w:rFonts w:ascii="Work Sans" w:eastAsia="Calibri" w:hAnsi="Work Sans"/>
          <w:lang w:eastAsia="en-US"/>
        </w:rPr>
        <w:t>l</w:t>
      </w:r>
      <w:r w:rsidR="001C1035" w:rsidRPr="001C1035">
        <w:rPr>
          <w:rFonts w:ascii="Work Sans" w:hAnsi="Work Sans"/>
        </w:rPr>
        <w:t>a decisione di prescrivere il farmaco, o la terapia o la pratica in esame, al singolo soggetto deve essere del tutto indipendente da quella di includere il soggetto stesso nello studio. Ne consegue che tutti gli studi in cui l’assegnazione dei volontari a tesi sperimentali diverse prima del trattamento vanno considerati sperimentali e non osservazionali</w:t>
      </w:r>
      <w:r>
        <w:rPr>
          <w:rFonts w:ascii="Work Sans" w:hAnsi="Work Sans"/>
        </w:rPr>
        <w:t>;</w:t>
      </w:r>
      <w:r w:rsidR="001C1035" w:rsidRPr="001C1035">
        <w:rPr>
          <w:rFonts w:ascii="Work Sans" w:hAnsi="Work Sans"/>
        </w:rPr>
        <w:t xml:space="preserve"> </w:t>
      </w:r>
    </w:p>
    <w:p w14:paraId="339695BE" w14:textId="6FEC80E4" w:rsidR="001C1035" w:rsidRPr="00B2475E" w:rsidRDefault="00B2475E" w:rsidP="00B2475E">
      <w:pPr>
        <w:spacing w:line="360" w:lineRule="auto"/>
        <w:jc w:val="both"/>
        <w:rPr>
          <w:rFonts w:ascii="Work Sans" w:hAnsi="Work Sans"/>
          <w:b/>
        </w:rPr>
      </w:pPr>
      <w:r w:rsidRPr="00B2475E">
        <w:rPr>
          <w:rFonts w:ascii="Work Sans" w:hAnsi="Work Sans"/>
          <w:b/>
        </w:rPr>
        <w:t>4.</w:t>
      </w:r>
      <w:r>
        <w:rPr>
          <w:rFonts w:ascii="Work Sans" w:hAnsi="Work Sans"/>
          <w:b/>
        </w:rPr>
        <w:t xml:space="preserve"> </w:t>
      </w:r>
      <w:r w:rsidRPr="00B2475E">
        <w:rPr>
          <w:rFonts w:ascii="Work Sans" w:hAnsi="Work Sans"/>
        </w:rPr>
        <w:t>l</w:t>
      </w:r>
      <w:r w:rsidR="001C1035" w:rsidRPr="00B2475E">
        <w:rPr>
          <w:rFonts w:ascii="Work Sans" w:hAnsi="Work Sans"/>
        </w:rPr>
        <w:t xml:space="preserve">e procedure diagnostiche e valutative devono corrispondere alla pratica clinica corrente. </w:t>
      </w:r>
    </w:p>
    <w:p w14:paraId="120561AB" w14:textId="5E36E9D9" w:rsidR="001C1035" w:rsidRPr="001C1035" w:rsidRDefault="001C1035" w:rsidP="001C1035">
      <w:pPr>
        <w:spacing w:line="360" w:lineRule="auto"/>
        <w:jc w:val="both"/>
        <w:rPr>
          <w:rFonts w:ascii="Work Sans" w:hAnsi="Work Sans"/>
        </w:rPr>
      </w:pPr>
      <w:r w:rsidRPr="001C1035">
        <w:rPr>
          <w:rFonts w:ascii="Work Sans" w:hAnsi="Work Sans"/>
        </w:rPr>
        <w:t>In assenza del rispetto anche di uno solo dei requisiti sopra descritti, lo studio dovrà essere considerato sperimentale e lo sperimentatore responsabile dovrà definire il livello di intervento in base al Reg EU 536/2014. In particolare, uno studio sperimentale a “</w:t>
      </w:r>
      <w:r w:rsidRPr="001C1035">
        <w:rPr>
          <w:rFonts w:ascii="Work Sans" w:hAnsi="Work Sans"/>
          <w:b/>
          <w:bCs/>
        </w:rPr>
        <w:t>basso livello di intervento</w:t>
      </w:r>
      <w:r w:rsidRPr="001C1035">
        <w:rPr>
          <w:rFonts w:ascii="Work Sans" w:hAnsi="Work Sans"/>
        </w:rPr>
        <w:t xml:space="preserve">” di tipo farmacologico è caratterizzato dai seguenti requisiti: </w:t>
      </w:r>
    </w:p>
    <w:p w14:paraId="73808CFF" w14:textId="4E51DE66" w:rsidR="001C1035" w:rsidRPr="00B2475E" w:rsidRDefault="001C1035" w:rsidP="00B2475E">
      <w:pPr>
        <w:pStyle w:val="Paragrafoelenco"/>
        <w:numPr>
          <w:ilvl w:val="0"/>
          <w:numId w:val="5"/>
        </w:numPr>
        <w:spacing w:line="360" w:lineRule="auto"/>
        <w:ind w:left="284" w:hanging="284"/>
        <w:jc w:val="both"/>
        <w:rPr>
          <w:rFonts w:ascii="Work Sans" w:hAnsi="Work Sans"/>
          <w:sz w:val="24"/>
          <w:szCs w:val="24"/>
        </w:rPr>
      </w:pPr>
      <w:bookmarkStart w:id="1" w:name="_Hlk44519945"/>
      <w:r w:rsidRPr="00B2475E">
        <w:rPr>
          <w:rFonts w:ascii="Work Sans" w:hAnsi="Work Sans"/>
          <w:sz w:val="24"/>
          <w:szCs w:val="24"/>
        </w:rPr>
        <w:t xml:space="preserve">i medicinali sperimentali, ad esclusione dei placebo, sono autorizzati; </w:t>
      </w:r>
    </w:p>
    <w:p w14:paraId="385069DB" w14:textId="397A7F52" w:rsidR="00B2475E" w:rsidRPr="00DA6F0C" w:rsidRDefault="001C1035" w:rsidP="00B2475E">
      <w:pPr>
        <w:pStyle w:val="Paragrafoelenco"/>
        <w:numPr>
          <w:ilvl w:val="0"/>
          <w:numId w:val="5"/>
        </w:numPr>
        <w:spacing w:line="360" w:lineRule="auto"/>
        <w:ind w:left="284" w:hanging="284"/>
        <w:jc w:val="both"/>
        <w:rPr>
          <w:rFonts w:ascii="Work Sans" w:hAnsi="Work Sans"/>
          <w:sz w:val="24"/>
          <w:szCs w:val="24"/>
        </w:rPr>
      </w:pPr>
      <w:r w:rsidRPr="00DA6F0C">
        <w:rPr>
          <w:rFonts w:ascii="Work Sans" w:hAnsi="Work Sans"/>
          <w:sz w:val="24"/>
          <w:szCs w:val="24"/>
        </w:rPr>
        <w:t>in base al protocollo della sperimentazione clinica</w:t>
      </w:r>
      <w:r w:rsidR="00B2475E" w:rsidRPr="00DA6F0C">
        <w:rPr>
          <w:rFonts w:ascii="Work Sans" w:hAnsi="Work Sans"/>
          <w:sz w:val="24"/>
          <w:szCs w:val="24"/>
        </w:rPr>
        <w:t>:</w:t>
      </w:r>
    </w:p>
    <w:p w14:paraId="227A2F67" w14:textId="4E48E99C" w:rsidR="001C1035" w:rsidRPr="00B2475E" w:rsidRDefault="001C1035" w:rsidP="00B2475E">
      <w:pPr>
        <w:pStyle w:val="Paragrafoelenco"/>
        <w:numPr>
          <w:ilvl w:val="1"/>
          <w:numId w:val="5"/>
        </w:numPr>
        <w:spacing w:line="360" w:lineRule="auto"/>
        <w:ind w:left="284" w:firstLine="0"/>
        <w:jc w:val="both"/>
        <w:rPr>
          <w:rFonts w:ascii="Work Sans" w:hAnsi="Work Sans"/>
          <w:sz w:val="24"/>
          <w:szCs w:val="24"/>
        </w:rPr>
      </w:pPr>
      <w:r w:rsidRPr="00B2475E">
        <w:rPr>
          <w:rFonts w:ascii="Work Sans" w:hAnsi="Work Sans"/>
          <w:sz w:val="24"/>
          <w:szCs w:val="24"/>
        </w:rPr>
        <w:t xml:space="preserve">i medicinali sperimentali sono utilizzati in conformità alle condizioni dell'autorizzazione all'immissione in commercio; o </w:t>
      </w:r>
    </w:p>
    <w:p w14:paraId="44794C99" w14:textId="77777777" w:rsidR="001C1035" w:rsidRPr="00B2475E" w:rsidRDefault="001C1035" w:rsidP="00B2475E">
      <w:pPr>
        <w:pStyle w:val="Paragrafoelenco"/>
        <w:numPr>
          <w:ilvl w:val="1"/>
          <w:numId w:val="5"/>
        </w:numPr>
        <w:spacing w:line="360" w:lineRule="auto"/>
        <w:ind w:left="284" w:firstLine="0"/>
        <w:jc w:val="both"/>
        <w:rPr>
          <w:rFonts w:ascii="Work Sans" w:hAnsi="Work Sans"/>
          <w:sz w:val="24"/>
          <w:szCs w:val="24"/>
        </w:rPr>
      </w:pPr>
      <w:r w:rsidRPr="00B2475E">
        <w:rPr>
          <w:rFonts w:ascii="Work Sans" w:hAnsi="Work Sans"/>
          <w:sz w:val="24"/>
          <w:szCs w:val="24"/>
        </w:rPr>
        <w:t xml:space="preserve">l'impiego di medicinali sperimentali è basato su elementi di evidenza scientifica e supportato da pubblicazioni scientifiche sulla sicurezza e l'efficacia di tali medicinali sperimentali in uno qualsiasi degli Stati membri interessati; e </w:t>
      </w:r>
    </w:p>
    <w:p w14:paraId="7C20585D" w14:textId="00B1E07F" w:rsidR="009A7036" w:rsidRPr="00644D1D" w:rsidRDefault="001C1035" w:rsidP="00B2475E">
      <w:pPr>
        <w:pStyle w:val="Paragrafoelenco"/>
        <w:numPr>
          <w:ilvl w:val="1"/>
          <w:numId w:val="5"/>
        </w:numPr>
        <w:spacing w:before="120" w:after="120" w:line="360" w:lineRule="auto"/>
        <w:ind w:left="284" w:firstLine="0"/>
        <w:jc w:val="both"/>
        <w:rPr>
          <w:rFonts w:ascii="Work Sans" w:hAnsi="Work Sans" w:cstheme="minorHAnsi"/>
          <w:b/>
          <w:color w:val="1F497D" w:themeColor="text2"/>
          <w:sz w:val="24"/>
          <w:szCs w:val="24"/>
        </w:rPr>
      </w:pPr>
      <w:r w:rsidRPr="00B2475E">
        <w:rPr>
          <w:rFonts w:ascii="Work Sans" w:hAnsi="Work Sans"/>
          <w:sz w:val="24"/>
          <w:szCs w:val="24"/>
        </w:rPr>
        <w:lastRenderedPageBreak/>
        <w:t>le procedure diagnostiche o di monitoraggio aggiuntive pongono solo rischi o oneri aggiuntivi minimi per la sicurezza dei soggetti rispetto alla normale pratica clinica in qualsiasi Stato membro interessato.</w:t>
      </w:r>
      <w:bookmarkEnd w:id="0"/>
      <w:bookmarkEnd w:id="1"/>
    </w:p>
    <w:p w14:paraId="5DBC2379" w14:textId="1C4820AC" w:rsidR="00644D1D" w:rsidRPr="00644D1D" w:rsidRDefault="00644D1D" w:rsidP="00CA2432">
      <w:pPr>
        <w:spacing w:before="120" w:after="120" w:line="360" w:lineRule="auto"/>
        <w:jc w:val="center"/>
        <w:rPr>
          <w:rFonts w:ascii="Work Sans" w:hAnsi="Work Sans" w:cstheme="minorHAnsi"/>
          <w:b/>
          <w:color w:val="1F497D" w:themeColor="text2"/>
        </w:rPr>
      </w:pPr>
      <w:bookmarkStart w:id="2" w:name="_GoBack"/>
      <w:bookmarkEnd w:id="2"/>
    </w:p>
    <w:sectPr w:rsidR="00644D1D" w:rsidRPr="00644D1D" w:rsidSect="00AF5C9A">
      <w:headerReference w:type="even" r:id="rId8"/>
      <w:headerReference w:type="default" r:id="rId9"/>
      <w:footerReference w:type="default" r:id="rId10"/>
      <w:headerReference w:type="first" r:id="rId11"/>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8A978" w14:textId="77777777" w:rsidR="00DD6C24" w:rsidRDefault="00DD6C24" w:rsidP="005C2BD2">
      <w:r>
        <w:separator/>
      </w:r>
    </w:p>
  </w:endnote>
  <w:endnote w:type="continuationSeparator" w:id="0">
    <w:p w14:paraId="1E63361C" w14:textId="77777777" w:rsidR="00DD6C24" w:rsidRDefault="00DD6C2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7C55" w14:textId="749B0EDD" w:rsidR="00902464" w:rsidRPr="008E272F" w:rsidRDefault="009A7036" w:rsidP="00E85F80">
    <w:pPr>
      <w:pStyle w:val="Pidipagina"/>
      <w:tabs>
        <w:tab w:val="clear" w:pos="4819"/>
        <w:tab w:val="clear" w:pos="9638"/>
        <w:tab w:val="left" w:pos="2235"/>
        <w:tab w:val="left" w:pos="3675"/>
      </w:tabs>
    </w:pPr>
    <w:r>
      <w:rPr>
        <w:rFonts w:ascii="Work Sans" w:hAnsi="Work Sans"/>
        <w:noProof/>
      </w:rPr>
      <mc:AlternateContent>
        <mc:Choice Requires="wps">
          <w:drawing>
            <wp:anchor distT="0" distB="0" distL="114300" distR="114300" simplePos="0" relativeHeight="251679744" behindDoc="0" locked="0" layoutInCell="1" allowOverlap="1" wp14:anchorId="7B963B87" wp14:editId="74942ADE">
              <wp:simplePos x="0" y="0"/>
              <wp:positionH relativeFrom="column">
                <wp:posOffset>971550</wp:posOffset>
              </wp:positionH>
              <wp:positionV relativeFrom="paragraph">
                <wp:posOffset>57150</wp:posOffset>
              </wp:positionV>
              <wp:extent cx="647700" cy="238125"/>
              <wp:effectExtent l="0" t="0" r="19050" b="28575"/>
              <wp:wrapNone/>
              <wp:docPr id="3" name="Rettangolo 3"/>
              <wp:cNvGraphicFramePr/>
              <a:graphic xmlns:a="http://schemas.openxmlformats.org/drawingml/2006/main">
                <a:graphicData uri="http://schemas.microsoft.com/office/word/2010/wordprocessingShape">
                  <wps:wsp>
                    <wps:cNvSpPr/>
                    <wps:spPr>
                      <a:xfrm>
                        <a:off x="0" y="0"/>
                        <a:ext cx="6477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D179F" id="Rettangolo 3" o:spid="_x0000_s1026" style="position:absolute;margin-left:76.5pt;margin-top:4.5pt;width:51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" fillcolor="white [3212]" strokecolor="white [3212]" strokeweight="2pt"/>
          </w:pict>
        </mc:Fallback>
      </mc:AlternateContent>
    </w:r>
    <w:r w:rsidR="00E85F80">
      <w:rPr>
        <w:noProof/>
      </w:rPr>
      <mc:AlternateContent>
        <mc:Choice Requires="wps">
          <w:drawing>
            <wp:anchor distT="45720" distB="45720" distL="114300" distR="114300" simplePos="0" relativeHeight="251677696" behindDoc="0" locked="0" layoutInCell="1" allowOverlap="1" wp14:anchorId="115AA0E4" wp14:editId="726A3DEF">
              <wp:simplePos x="0" y="0"/>
              <wp:positionH relativeFrom="column">
                <wp:posOffset>607060</wp:posOffset>
              </wp:positionH>
              <wp:positionV relativeFrom="paragraph">
                <wp:posOffset>-445770</wp:posOffset>
              </wp:positionV>
              <wp:extent cx="236093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16BBA7EA" w14:textId="42085C4B" w:rsidR="00E85F80" w:rsidRDefault="00E85F8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5AA0E4" id="_x0000_t202" coordsize="21600,21600" o:spt="202" path="m,l,21600r21600,l21600,xe">
              <v:stroke joinstyle="miter"/>
              <v:path gradientshapeok="t" o:connecttype="rect"/>
            </v:shapetype>
            <v:shape id="Casella di testo 2" o:spid="_x0000_s1026" type="#_x0000_t202" style="position:absolute;margin-left:47.8pt;margin-top:-35.1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" stroked="f">
              <v:fill opacity="0"/>
              <v:textbox style="mso-fit-shape-to-text:t">
                <w:txbxContent>
                  <w:p w14:paraId="16BBA7EA" w14:textId="42085C4B" w:rsidR="00E85F80" w:rsidRDefault="00E85F80"/>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DFE8D" w14:textId="77777777" w:rsidR="00DD6C24" w:rsidRDefault="00DD6C24" w:rsidP="005C2BD2">
      <w:r>
        <w:separator/>
      </w:r>
    </w:p>
  </w:footnote>
  <w:footnote w:type="continuationSeparator" w:id="0">
    <w:p w14:paraId="5A1ABA9E" w14:textId="77777777" w:rsidR="00DD6C24" w:rsidRDefault="00DD6C2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59719495" w:rsidR="00902464" w:rsidRDefault="00DD6C24">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C5E5E" w14:textId="0CE0EA9C" w:rsidR="00E85F80" w:rsidRDefault="00DD6C24">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37.95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96DACDB" w:rsidR="00902464" w:rsidRDefault="00DD6C24">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54C8C"/>
    <w:multiLevelType w:val="hybridMultilevel"/>
    <w:tmpl w:val="FE9647B0"/>
    <w:lvl w:ilvl="0" w:tplc="BF826D0E">
      <w:start w:val="1"/>
      <w:numFmt w:val="bullet"/>
      <w:lvlText w:val=""/>
      <w:lvlJc w:val="left"/>
      <w:pPr>
        <w:ind w:left="578" w:hanging="360"/>
      </w:pPr>
      <w:rPr>
        <w:rFonts w:ascii="Symbol" w:hAnsi="Symbol" w:hint="default"/>
        <w:b w:val="0"/>
        <w:color w:val="auto"/>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 w15:restartNumberingAfterBreak="0">
    <w:nsid w:val="279251AE"/>
    <w:multiLevelType w:val="hybridMultilevel"/>
    <w:tmpl w:val="A434DE2A"/>
    <w:lvl w:ilvl="0" w:tplc="0410000B">
      <w:start w:val="1"/>
      <w:numFmt w:val="bullet"/>
      <w:lvlText w:val=""/>
      <w:lvlJc w:val="left"/>
      <w:pPr>
        <w:ind w:left="720" w:hanging="360"/>
      </w:pPr>
      <w:rPr>
        <w:rFonts w:ascii="Wingdings" w:hAnsi="Wingdings" w:hint="default"/>
        <w:b w:val="0"/>
        <w:color w:val="auto"/>
        <w:sz w:val="24"/>
        <w:szCs w:val="22"/>
      </w:rPr>
    </w:lvl>
    <w:lvl w:ilvl="1" w:tplc="E7A68B10">
      <w:start w:val="1"/>
      <w:numFmt w:val="lowerLetter"/>
      <w:lvlText w:val="%2."/>
      <w:lvlJc w:val="left"/>
      <w:pPr>
        <w:ind w:left="502" w:hanging="360"/>
      </w:pPr>
      <w:rPr>
        <w:b/>
        <w:color w:val="auto"/>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340F6F4F"/>
    <w:multiLevelType w:val="multilevel"/>
    <w:tmpl w:val="7730F2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928" w:hanging="360"/>
      </w:pPr>
    </w:lvl>
    <w:lvl w:ilvl="5">
      <w:start w:val="1"/>
      <w:numFmt w:val="lowerLetter"/>
      <w:lvlText w:val="%6."/>
      <w:lvlJc w:val="left"/>
      <w:pPr>
        <w:ind w:left="2160" w:hanging="360"/>
      </w:pPr>
      <w:rPr>
        <w:rFonts w:ascii="Work Sans" w:eastAsia="Calibri" w:hAnsi="Work Sans" w:cs="Times New Roman" w:hint="default"/>
      </w:rPr>
    </w:lvl>
    <w:lvl w:ilvl="6">
      <w:start w:val="1"/>
      <w:numFmt w:val="decimal"/>
      <w:lvlText w:val="%7."/>
      <w:lvlJc w:val="left"/>
      <w:pPr>
        <w:ind w:left="2520" w:hanging="360"/>
      </w:pPr>
    </w:lvl>
    <w:lvl w:ilvl="7">
      <w:start w:val="1"/>
      <w:numFmt w:val="lowerLetter"/>
      <w:lvlText w:val="%8."/>
      <w:lvlJc w:val="left"/>
      <w:pPr>
        <w:ind w:left="2880" w:hanging="360"/>
      </w:pPr>
      <w:rPr>
        <w:rFonts w:ascii="Work Sans" w:eastAsia="Calibri" w:hAnsi="Work Sans" w:cs="Times New Roman" w:hint="default"/>
      </w:rPr>
    </w:lvl>
    <w:lvl w:ilvl="8">
      <w:start w:val="1"/>
      <w:numFmt w:val="lowerRoman"/>
      <w:lvlText w:val="%9."/>
      <w:lvlJc w:val="left"/>
      <w:pPr>
        <w:ind w:left="3240" w:hanging="360"/>
      </w:pPr>
    </w:lvl>
  </w:abstractNum>
  <w:abstractNum w:abstractNumId="3" w15:restartNumberingAfterBreak="0">
    <w:nsid w:val="51FE4E7D"/>
    <w:multiLevelType w:val="hybridMultilevel"/>
    <w:tmpl w:val="41002EAC"/>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10956BE"/>
    <w:multiLevelType w:val="hybridMultilevel"/>
    <w:tmpl w:val="231C70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9133E"/>
    <w:rsid w:val="0010041F"/>
    <w:rsid w:val="00121708"/>
    <w:rsid w:val="001645A1"/>
    <w:rsid w:val="001805C9"/>
    <w:rsid w:val="001C1035"/>
    <w:rsid w:val="00204420"/>
    <w:rsid w:val="00287D82"/>
    <w:rsid w:val="00306D01"/>
    <w:rsid w:val="003D4636"/>
    <w:rsid w:val="00414C83"/>
    <w:rsid w:val="004552EA"/>
    <w:rsid w:val="004D6B2E"/>
    <w:rsid w:val="004E2E18"/>
    <w:rsid w:val="0053096A"/>
    <w:rsid w:val="005340EC"/>
    <w:rsid w:val="005C2BD2"/>
    <w:rsid w:val="005D749B"/>
    <w:rsid w:val="0061352A"/>
    <w:rsid w:val="00644D1D"/>
    <w:rsid w:val="00662B29"/>
    <w:rsid w:val="006710D9"/>
    <w:rsid w:val="006A1D09"/>
    <w:rsid w:val="007005F7"/>
    <w:rsid w:val="007A2DA3"/>
    <w:rsid w:val="007A707D"/>
    <w:rsid w:val="007C37B2"/>
    <w:rsid w:val="00800680"/>
    <w:rsid w:val="00804614"/>
    <w:rsid w:val="00840990"/>
    <w:rsid w:val="00840C70"/>
    <w:rsid w:val="0084677F"/>
    <w:rsid w:val="0088514D"/>
    <w:rsid w:val="008D7000"/>
    <w:rsid w:val="008E272F"/>
    <w:rsid w:val="00902464"/>
    <w:rsid w:val="00924CC0"/>
    <w:rsid w:val="00941AA9"/>
    <w:rsid w:val="00976B91"/>
    <w:rsid w:val="00980658"/>
    <w:rsid w:val="009A7036"/>
    <w:rsid w:val="009D7127"/>
    <w:rsid w:val="00A8784F"/>
    <w:rsid w:val="00A93F4C"/>
    <w:rsid w:val="00AF5C9A"/>
    <w:rsid w:val="00B00DCF"/>
    <w:rsid w:val="00B2475E"/>
    <w:rsid w:val="00B42183"/>
    <w:rsid w:val="00B76B74"/>
    <w:rsid w:val="00B91007"/>
    <w:rsid w:val="00BB6CA0"/>
    <w:rsid w:val="00BD55C9"/>
    <w:rsid w:val="00C11DB5"/>
    <w:rsid w:val="00C2049E"/>
    <w:rsid w:val="00C47C93"/>
    <w:rsid w:val="00C7117F"/>
    <w:rsid w:val="00CA2432"/>
    <w:rsid w:val="00CD24C6"/>
    <w:rsid w:val="00D67348"/>
    <w:rsid w:val="00DA1ADB"/>
    <w:rsid w:val="00DA6F0C"/>
    <w:rsid w:val="00DB2B68"/>
    <w:rsid w:val="00DD4F41"/>
    <w:rsid w:val="00DD6C24"/>
    <w:rsid w:val="00DE4A69"/>
    <w:rsid w:val="00DF1B9D"/>
    <w:rsid w:val="00E06FFB"/>
    <w:rsid w:val="00E16032"/>
    <w:rsid w:val="00E40E76"/>
    <w:rsid w:val="00E44A34"/>
    <w:rsid w:val="00E57ADA"/>
    <w:rsid w:val="00E85F80"/>
    <w:rsid w:val="00E95410"/>
    <w:rsid w:val="00F27588"/>
    <w:rsid w:val="00F317E3"/>
    <w:rsid w:val="00F34FC1"/>
    <w:rsid w:val="00F40CB5"/>
    <w:rsid w:val="00F46D9F"/>
    <w:rsid w:val="00F46DC5"/>
    <w:rsid w:val="00FD49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85F80"/>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E85F80"/>
    <w:rPr>
      <w:color w:val="0000FF" w:themeColor="hyperlink"/>
      <w:u w:val="single"/>
    </w:rPr>
  </w:style>
  <w:style w:type="character" w:styleId="Enfasigrassetto">
    <w:name w:val="Strong"/>
    <w:basedOn w:val="Carpredefinitoparagrafo"/>
    <w:uiPriority w:val="22"/>
    <w:qFormat/>
    <w:rsid w:val="00E85F80"/>
    <w:rPr>
      <w:b/>
      <w:bCs/>
    </w:rPr>
  </w:style>
  <w:style w:type="paragraph" w:styleId="Nessunaspaziatura">
    <w:name w:val="No Spacing"/>
    <w:uiPriority w:val="1"/>
    <w:qFormat/>
    <w:rsid w:val="009A7036"/>
    <w:pPr>
      <w:spacing w:after="0" w:line="240" w:lineRule="auto"/>
    </w:pPr>
    <w:rPr>
      <w:rFonts w:ascii="Arial" w:eastAsia="Times New Roman" w:hAnsi="Arial" w:cs="Times New Roman"/>
      <w:sz w:val="24"/>
      <w:szCs w:val="24"/>
      <w:lang w:eastAsia="it-IT"/>
    </w:rPr>
  </w:style>
  <w:style w:type="paragraph" w:styleId="Paragrafoelenco">
    <w:name w:val="List Paragraph"/>
    <w:basedOn w:val="Normale"/>
    <w:uiPriority w:val="34"/>
    <w:qFormat/>
    <w:rsid w:val="009A7036"/>
    <w:pPr>
      <w:spacing w:line="256" w:lineRule="auto"/>
      <w:ind w:left="720"/>
      <w:contextualSpacing/>
    </w:pPr>
    <w:rPr>
      <w:rFonts w:ascii="Times New Roman" w:eastAsia="Calibri" w:hAnsi="Times New Roman"/>
      <w:sz w:val="22"/>
      <w:szCs w:val="22"/>
      <w:lang w:eastAsia="en-US"/>
    </w:rPr>
  </w:style>
  <w:style w:type="character" w:styleId="Testosegnaposto">
    <w:name w:val="Placeholder Text"/>
    <w:basedOn w:val="Carpredefinitoparagrafo"/>
    <w:uiPriority w:val="99"/>
    <w:semiHidden/>
    <w:rsid w:val="009A7036"/>
    <w:rPr>
      <w:color w:val="808080"/>
    </w:rPr>
  </w:style>
  <w:style w:type="character" w:styleId="Rimandocommento">
    <w:name w:val="annotation reference"/>
    <w:basedOn w:val="Carpredefinitoparagrafo"/>
    <w:uiPriority w:val="99"/>
    <w:semiHidden/>
    <w:unhideWhenUsed/>
    <w:rsid w:val="001C1035"/>
    <w:rPr>
      <w:sz w:val="16"/>
      <w:szCs w:val="16"/>
    </w:rPr>
  </w:style>
  <w:style w:type="paragraph" w:styleId="Testocommento">
    <w:name w:val="annotation text"/>
    <w:basedOn w:val="Normale"/>
    <w:link w:val="TestocommentoCarattere"/>
    <w:uiPriority w:val="99"/>
    <w:semiHidden/>
    <w:unhideWhenUsed/>
    <w:rsid w:val="001C1035"/>
    <w:rPr>
      <w:rFonts w:ascii="Times New Roman" w:eastAsiaTheme="minorHAnsi" w:hAnsi="Times New Roman"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1C1035"/>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EB063-7D5D-432F-97BA-53BFFCFDD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458</Words>
  <Characters>2613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Valentina Martelli</cp:lastModifiedBy>
  <cp:revision>10</cp:revision>
  <cp:lastPrinted>2014-05-07T10:01:00Z</cp:lastPrinted>
  <dcterms:created xsi:type="dcterms:W3CDTF">2022-01-13T09:02:00Z</dcterms:created>
  <dcterms:modified xsi:type="dcterms:W3CDTF">2022-02-07T13:53:00Z</dcterms:modified>
</cp:coreProperties>
</file>