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 </w:t>
      </w:r>
      <w:r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  <w:r>
        <w:rPr>
          <w:rFonts w:ascii="Work Sans" w:hAnsi="Work Sans"/>
          <w:color w:val="000000"/>
          <w:sz w:val="32"/>
          <w:szCs w:val="32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40" w:lineRule="atLeast"/>
        <w:ind w:left="850" w:right="342"/>
        <w:jc w:val="center"/>
        <w:rPr>
          <w:color w:val="201F1E"/>
        </w:rPr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bookmarkStart w:id="0" w:name="_GoBack"/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Convegno internazionale </w:t>
      </w:r>
      <w:r>
        <w:rPr>
          <w:rFonts w:ascii="Work Sans" w:hAnsi="Work Sans"/>
          <w:b/>
          <w:bCs/>
          <w:i/>
          <w:iCs/>
          <w:color w:val="201F1E"/>
          <w:sz w:val="22"/>
          <w:szCs w:val="22"/>
          <w:bdr w:val="none" w:sz="0" w:space="0" w:color="auto" w:frame="1"/>
          <w:lang w:val="en-US"/>
        </w:rPr>
        <w:t xml:space="preserve">Corruption </w:t>
      </w:r>
      <w:bookmarkEnd w:id="0"/>
      <w:r>
        <w:rPr>
          <w:rFonts w:ascii="Work Sans" w:hAnsi="Work Sans"/>
          <w:b/>
          <w:bCs/>
          <w:i/>
          <w:iCs/>
          <w:color w:val="201F1E"/>
          <w:sz w:val="22"/>
          <w:szCs w:val="22"/>
          <w:bdr w:val="none" w:sz="0" w:space="0" w:color="auto" w:frame="1"/>
          <w:lang w:val="en-US"/>
        </w:rPr>
        <w:t>and anti-corruption in Europe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Perugia, 2-3 dicembre 2021, Dipartimento di Scienze politiche e su Teams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br/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color w:val="201F1E"/>
        </w:rPr>
        <w:t>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Il convegno </w:t>
      </w:r>
      <w:proofErr w:type="spellStart"/>
      <w:r>
        <w:rPr>
          <w:rFonts w:ascii="Work Sans" w:hAnsi="Work Sans"/>
          <w:b/>
          <w:bCs/>
          <w:i/>
          <w:iCs/>
          <w:color w:val="201F1E"/>
          <w:sz w:val="22"/>
          <w:szCs w:val="22"/>
          <w:bdr w:val="none" w:sz="0" w:space="0" w:color="auto" w:frame="1"/>
        </w:rPr>
        <w:t>Corruption</w:t>
      </w:r>
      <w:proofErr w:type="spellEnd"/>
      <w:r>
        <w:rPr>
          <w:rFonts w:ascii="Work Sans" w:hAnsi="Work Sans"/>
          <w:b/>
          <w:bCs/>
          <w:i/>
          <w:iCs/>
          <w:color w:val="201F1E"/>
          <w:sz w:val="22"/>
          <w:szCs w:val="22"/>
          <w:bdr w:val="none" w:sz="0" w:space="0" w:color="auto" w:frame="1"/>
        </w:rPr>
        <w:t xml:space="preserve"> and anti-</w:t>
      </w:r>
      <w:proofErr w:type="spellStart"/>
      <w:r>
        <w:rPr>
          <w:rFonts w:ascii="Work Sans" w:hAnsi="Work Sans"/>
          <w:b/>
          <w:bCs/>
          <w:i/>
          <w:iCs/>
          <w:color w:val="201F1E"/>
          <w:sz w:val="22"/>
          <w:szCs w:val="22"/>
          <w:bdr w:val="none" w:sz="0" w:space="0" w:color="auto" w:frame="1"/>
        </w:rPr>
        <w:t>corruption</w:t>
      </w:r>
      <w:proofErr w:type="spellEnd"/>
      <w:r>
        <w:rPr>
          <w:rFonts w:ascii="Work Sans" w:hAnsi="Work Sans"/>
          <w:b/>
          <w:bCs/>
          <w:i/>
          <w:iCs/>
          <w:color w:val="201F1E"/>
          <w:sz w:val="22"/>
          <w:szCs w:val="22"/>
          <w:bdr w:val="none" w:sz="0" w:space="0" w:color="auto" w:frame="1"/>
        </w:rPr>
        <w:t xml:space="preserve"> in Europe</w:t>
      </w: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,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promosso dal </w:t>
      </w: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Dipartimento di Scienze politiche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si svolgerà domani </w:t>
      </w: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mercoledì 2 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e</w:t>
      </w: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 giovedì 3 dicembre 2021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nell’Aula 1 del Dipartimento, in via A. Pascoli, con possibilità di frequenza anche 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online su piattaforma Microsoft Teams. 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La prima giornata del convegno è organizzata all’interno del progetto </w:t>
      </w: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PRIN </w:t>
      </w:r>
      <w:proofErr w:type="spellStart"/>
      <w:r>
        <w:rPr>
          <w:rFonts w:ascii="Work Sans" w:hAnsi="Work Sans"/>
          <w:b/>
          <w:bCs/>
          <w:i/>
          <w:iCs/>
          <w:color w:val="201F1E"/>
          <w:sz w:val="22"/>
          <w:szCs w:val="22"/>
          <w:bdr w:val="none" w:sz="0" w:space="0" w:color="auto" w:frame="1"/>
        </w:rPr>
        <w:t>PolitiCAnti</w:t>
      </w:r>
      <w:proofErr w:type="spellEnd"/>
      <w:r>
        <w:rPr>
          <w:rFonts w:ascii="Work Sans" w:hAnsi="Work Sans"/>
          <w:b/>
          <w:bCs/>
          <w:i/>
          <w:iCs/>
          <w:color w:val="201F1E"/>
          <w:sz w:val="22"/>
          <w:szCs w:val="22"/>
          <w:bdr w:val="none" w:sz="0" w:space="0" w:color="auto" w:frame="1"/>
        </w:rPr>
        <w:t xml:space="preserve"> - The </w:t>
      </w:r>
      <w:proofErr w:type="spellStart"/>
      <w:r>
        <w:rPr>
          <w:rFonts w:ascii="Work Sans" w:hAnsi="Work Sans"/>
          <w:b/>
          <w:bCs/>
          <w:i/>
          <w:iCs/>
          <w:color w:val="201F1E"/>
          <w:sz w:val="22"/>
          <w:szCs w:val="22"/>
          <w:bdr w:val="none" w:sz="0" w:space="0" w:color="auto" w:frame="1"/>
        </w:rPr>
        <w:t>Politicisation</w:t>
      </w:r>
      <w:proofErr w:type="spellEnd"/>
      <w:r>
        <w:rPr>
          <w:rFonts w:ascii="Work Sans" w:hAnsi="Work Sans"/>
          <w:b/>
          <w:bCs/>
          <w:i/>
          <w:iCs/>
          <w:color w:val="201F1E"/>
          <w:sz w:val="22"/>
          <w:szCs w:val="22"/>
          <w:bdr w:val="none" w:sz="0" w:space="0" w:color="auto" w:frame="1"/>
        </w:rPr>
        <w:t xml:space="preserve"> of </w:t>
      </w:r>
      <w:proofErr w:type="spellStart"/>
      <w:r>
        <w:rPr>
          <w:rFonts w:ascii="Work Sans" w:hAnsi="Work Sans"/>
          <w:b/>
          <w:bCs/>
          <w:i/>
          <w:iCs/>
          <w:color w:val="201F1E"/>
          <w:sz w:val="22"/>
          <w:szCs w:val="22"/>
          <w:bdr w:val="none" w:sz="0" w:space="0" w:color="auto" w:frame="1"/>
        </w:rPr>
        <w:t>Corruption</w:t>
      </w:r>
      <w:proofErr w:type="spellEnd"/>
      <w:r>
        <w:rPr>
          <w:rFonts w:ascii="Work Sans" w:hAnsi="Work Sans"/>
          <w:b/>
          <w:bCs/>
          <w:i/>
          <w:iCs/>
          <w:color w:val="201F1E"/>
          <w:sz w:val="22"/>
          <w:szCs w:val="22"/>
          <w:bdr w:val="none" w:sz="0" w:space="0" w:color="auto" w:frame="1"/>
        </w:rPr>
        <w:t xml:space="preserve"> and </w:t>
      </w:r>
      <w:proofErr w:type="spellStart"/>
      <w:r>
        <w:rPr>
          <w:rFonts w:ascii="Work Sans" w:hAnsi="Work Sans"/>
          <w:b/>
          <w:bCs/>
          <w:i/>
          <w:iCs/>
          <w:color w:val="201F1E"/>
          <w:sz w:val="22"/>
          <w:szCs w:val="22"/>
          <w:bdr w:val="none" w:sz="0" w:space="0" w:color="auto" w:frame="1"/>
        </w:rPr>
        <w:t>Anticorruption</w:t>
      </w:r>
      <w:proofErr w:type="spellEnd"/>
      <w:r>
        <w:rPr>
          <w:rFonts w:ascii="Work Sans" w:hAnsi="Work Sans"/>
          <w:b/>
          <w:bCs/>
          <w:i/>
          <w:iCs/>
          <w:color w:val="201F1E"/>
          <w:sz w:val="22"/>
          <w:szCs w:val="22"/>
          <w:bdr w:val="none" w:sz="0" w:space="0" w:color="auto" w:frame="1"/>
        </w:rPr>
        <w:t xml:space="preserve"> </w:t>
      </w:r>
      <w:proofErr w:type="spellStart"/>
      <w:r>
        <w:rPr>
          <w:rFonts w:ascii="Work Sans" w:hAnsi="Work Sans"/>
          <w:b/>
          <w:bCs/>
          <w:i/>
          <w:iCs/>
          <w:color w:val="201F1E"/>
          <w:sz w:val="22"/>
          <w:szCs w:val="22"/>
          <w:bdr w:val="none" w:sz="0" w:space="0" w:color="auto" w:frame="1"/>
        </w:rPr>
        <w:t>Strategies</w:t>
      </w:r>
      <w:proofErr w:type="spellEnd"/>
      <w:r>
        <w:rPr>
          <w:rFonts w:ascii="Work Sans" w:hAnsi="Work Sans"/>
          <w:b/>
          <w:bCs/>
          <w:i/>
          <w:iCs/>
          <w:color w:val="201F1E"/>
          <w:sz w:val="22"/>
          <w:szCs w:val="22"/>
          <w:bdr w:val="none" w:sz="0" w:space="0" w:color="auto" w:frame="1"/>
        </w:rPr>
        <w:t xml:space="preserve"> in </w:t>
      </w:r>
      <w:proofErr w:type="spellStart"/>
      <w:r>
        <w:rPr>
          <w:rFonts w:ascii="Work Sans" w:hAnsi="Work Sans"/>
          <w:b/>
          <w:bCs/>
          <w:i/>
          <w:iCs/>
          <w:color w:val="201F1E"/>
          <w:sz w:val="22"/>
          <w:szCs w:val="22"/>
          <w:bdr w:val="none" w:sz="0" w:space="0" w:color="auto" w:frame="1"/>
        </w:rPr>
        <w:t>Italy</w:t>
      </w:r>
      <w:proofErr w:type="spellEnd"/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coordinato a livello locale dalla dott.ssa </w:t>
      </w: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Rita Marchetti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</w:t>
      </w:r>
      <w:r>
        <w:rPr>
          <w:rFonts w:ascii="Work Sans" w:hAnsi="Work Sans"/>
          <w:i/>
          <w:iCs/>
          <w:color w:val="201F1E"/>
          <w:sz w:val="22"/>
          <w:szCs w:val="22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che mira a indagare la politicizzazione della corruzione e delle iniziative di anticorruzione attraverso un approccio multidisciplinare, di cui il Dipartimento di Scienze politiche dell’Università degli Studi di Perugia è una delle quattro unità di ricerca insieme all’Università di Pisa, La Sapienza Università di Roma e l’Università Cattolica di Milano (maggiori info sul progetto al sito </w:t>
      </w:r>
      <w:hyperlink r:id="rId8" w:tgtFrame="_blank" w:history="1">
        <w:r>
          <w:rPr>
            <w:rStyle w:val="Collegamentoipertestuale"/>
            <w:rFonts w:ascii="Work Sans" w:hAnsi="Work Sans"/>
            <w:sz w:val="22"/>
            <w:szCs w:val="22"/>
            <w:bdr w:val="none" w:sz="0" w:space="0" w:color="auto" w:frame="1"/>
          </w:rPr>
          <w:t>politicanti.sp.unipi.it</w:t>
        </w:r>
      </w:hyperlink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).  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La sessione di apertura vedrà i saluti del Magnifico Rettore </w:t>
      </w:r>
      <w:r>
        <w:rPr>
          <w:rFonts w:ascii="Work Sans" w:hAnsi="Work Sans"/>
          <w:b/>
          <w:bCs/>
          <w:color w:val="201F1E"/>
          <w:sz w:val="22"/>
          <w:szCs w:val="22"/>
        </w:rPr>
        <w:t>Maurizio Oliviero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del Direttore del Dipartimento </w:t>
      </w:r>
      <w:r>
        <w:rPr>
          <w:rFonts w:ascii="Work Sans" w:hAnsi="Work Sans"/>
          <w:b/>
          <w:bCs/>
          <w:color w:val="201F1E"/>
          <w:sz w:val="22"/>
          <w:szCs w:val="22"/>
        </w:rPr>
        <w:t>Giorgio Eduardo Montanari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 e del Direttore del Centro studi </w:t>
      </w:r>
      <w:proofErr w:type="spellStart"/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Lepa</w:t>
      </w:r>
      <w:proofErr w:type="spellEnd"/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  <w:r>
        <w:rPr>
          <w:rFonts w:ascii="Work Sans" w:hAnsi="Work Sans"/>
          <w:b/>
          <w:bCs/>
          <w:color w:val="201F1E"/>
          <w:sz w:val="22"/>
          <w:szCs w:val="22"/>
        </w:rPr>
        <w:t xml:space="preserve">Enrico </w:t>
      </w:r>
      <w:proofErr w:type="spellStart"/>
      <w:r>
        <w:rPr>
          <w:rFonts w:ascii="Work Sans" w:hAnsi="Work Sans"/>
          <w:b/>
          <w:bCs/>
          <w:color w:val="201F1E"/>
          <w:sz w:val="22"/>
          <w:szCs w:val="22"/>
        </w:rPr>
        <w:t>Carloni</w:t>
      </w:r>
      <w:proofErr w:type="spellEnd"/>
      <w:r>
        <w:rPr>
          <w:rFonts w:ascii="Work Sans" w:hAnsi="Work Sans"/>
          <w:b/>
          <w:bCs/>
          <w:color w:val="201F1E"/>
          <w:sz w:val="22"/>
          <w:szCs w:val="22"/>
        </w:rPr>
        <w:t>.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La mattinata sarà poi dedicata alla discussione di alcuni risultati del progetto</w:t>
      </w:r>
      <w:r>
        <w:rPr>
          <w:rFonts w:ascii="Work Sans" w:hAnsi="Work Sans"/>
          <w:i/>
          <w:iCs/>
          <w:color w:val="201F1E"/>
          <w:sz w:val="22"/>
          <w:szCs w:val="22"/>
          <w:bdr w:val="none" w:sz="0" w:space="0" w:color="auto" w:frame="1"/>
        </w:rPr>
        <w:t> </w:t>
      </w:r>
      <w:proofErr w:type="spellStart"/>
      <w:r>
        <w:rPr>
          <w:rFonts w:ascii="Work Sans" w:hAnsi="Work Sans"/>
          <w:i/>
          <w:iCs/>
          <w:color w:val="201F1E"/>
          <w:sz w:val="22"/>
          <w:szCs w:val="22"/>
          <w:bdr w:val="none" w:sz="0" w:space="0" w:color="auto" w:frame="1"/>
        </w:rPr>
        <w:t>PolitiCAnti</w:t>
      </w:r>
      <w:proofErr w:type="spellEnd"/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con la partecipazione di studiosi afferenti a diverse università italiane. 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Il pomeriggio sarà invece l’occasione per riflettere insieme sul tema dell’anticorruzione in Italia con uno sguardo europeo, partendo dal volume di Raffaele Cantone e Nicoletta Parisi </w:t>
      </w:r>
      <w:r>
        <w:rPr>
          <w:rFonts w:ascii="Work Sans" w:hAnsi="Work Sans"/>
          <w:i/>
          <w:iCs/>
          <w:color w:val="201F1E"/>
          <w:sz w:val="22"/>
          <w:szCs w:val="22"/>
          <w:bdr w:val="none" w:sz="0" w:space="0" w:color="auto" w:frame="1"/>
        </w:rPr>
        <w:t>L’Autorità Nazionale Anticorruzione e la vita di relazione internazionale 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(2021). A seguire la tavola rotonda di chiusura, con ospiti italiani e internazionali, che prenderà in considerazione le dinamiche di corruzione e anticorruzione nelle cosiddette democrazie in transizione dei Paesi dell’Europa centro-orientale con le quali l’Italia presenta tratti di similarità. 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rPr>
          <w:rFonts w:ascii="Work Sans" w:hAnsi="Work Sans"/>
          <w:color w:val="000000"/>
        </w:rPr>
      </w:pPr>
      <w:r>
        <w:rPr>
          <w:rFonts w:ascii="inherit" w:hAnsi="inherit"/>
          <w:sz w:val="22"/>
          <w:szCs w:val="22"/>
          <w:bdr w:val="none" w:sz="0" w:space="0" w:color="auto" w:frame="1"/>
        </w:rPr>
        <w:t>La giornata di </w:t>
      </w:r>
      <w:r>
        <w:rPr>
          <w:rFonts w:ascii="inherit" w:hAnsi="inherit"/>
          <w:b/>
          <w:bCs/>
          <w:sz w:val="22"/>
          <w:szCs w:val="22"/>
          <w:bdr w:val="none" w:sz="0" w:space="0" w:color="auto" w:frame="1"/>
        </w:rPr>
        <w:t>giovedì 3 dicembre</w:t>
      </w:r>
      <w:r>
        <w:rPr>
          <w:rFonts w:ascii="inherit" w:hAnsi="inherit"/>
          <w:sz w:val="22"/>
          <w:szCs w:val="22"/>
          <w:bdr w:val="none" w:sz="0" w:space="0" w:color="auto" w:frame="1"/>
        </w:rPr>
        <w:t> è promossa nell’ambito del progetto </w:t>
      </w:r>
      <w:r>
        <w:rPr>
          <w:rFonts w:ascii="inherit" w:hAnsi="inherit"/>
          <w:b/>
          <w:bCs/>
          <w:sz w:val="22"/>
          <w:szCs w:val="22"/>
          <w:bdr w:val="none" w:sz="0" w:space="0" w:color="auto" w:frame="1"/>
        </w:rPr>
        <w:t>“</w:t>
      </w:r>
      <w:proofErr w:type="spellStart"/>
      <w:r>
        <w:rPr>
          <w:rFonts w:ascii="inherit" w:hAnsi="inherit"/>
          <w:b/>
          <w:bCs/>
          <w:sz w:val="22"/>
          <w:szCs w:val="22"/>
          <w:bdr w:val="none" w:sz="0" w:space="0" w:color="auto" w:frame="1"/>
        </w:rPr>
        <w:t>Administrative</w:t>
      </w:r>
      <w:proofErr w:type="spellEnd"/>
      <w:r>
        <w:rPr>
          <w:rFonts w:ascii="inherit" w:hAnsi="inherit"/>
          <w:b/>
          <w:bCs/>
          <w:sz w:val="22"/>
          <w:szCs w:val="22"/>
          <w:bdr w:val="none" w:sz="0" w:space="0" w:color="auto" w:frame="1"/>
        </w:rPr>
        <w:t xml:space="preserve"> Prevention </w:t>
      </w:r>
      <w:proofErr w:type="spellStart"/>
      <w:r>
        <w:rPr>
          <w:rFonts w:ascii="inherit" w:hAnsi="inherit"/>
          <w:b/>
          <w:bCs/>
          <w:sz w:val="22"/>
          <w:szCs w:val="22"/>
          <w:bdr w:val="none" w:sz="0" w:space="0" w:color="auto" w:frame="1"/>
        </w:rPr>
        <w:t>through</w:t>
      </w:r>
      <w:proofErr w:type="spellEnd"/>
      <w:r>
        <w:rPr>
          <w:rFonts w:ascii="inherit" w:hAnsi="inherit"/>
          <w:b/>
          <w:bCs/>
          <w:sz w:val="22"/>
          <w:szCs w:val="22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b/>
          <w:bCs/>
          <w:sz w:val="22"/>
          <w:szCs w:val="22"/>
          <w:bdr w:val="none" w:sz="0" w:space="0" w:color="auto" w:frame="1"/>
        </w:rPr>
        <w:t>Targeted</w:t>
      </w:r>
      <w:proofErr w:type="spellEnd"/>
      <w:r>
        <w:rPr>
          <w:rFonts w:ascii="inherit" w:hAnsi="inherit"/>
          <w:b/>
          <w:bCs/>
          <w:sz w:val="22"/>
          <w:szCs w:val="22"/>
          <w:bdr w:val="none" w:sz="0" w:space="0" w:color="auto" w:frame="1"/>
        </w:rPr>
        <w:t xml:space="preserve"> Anti-</w:t>
      </w:r>
      <w:proofErr w:type="spellStart"/>
      <w:r>
        <w:rPr>
          <w:rFonts w:ascii="inherit" w:hAnsi="inherit"/>
          <w:b/>
          <w:bCs/>
          <w:sz w:val="22"/>
          <w:szCs w:val="22"/>
          <w:bdr w:val="none" w:sz="0" w:space="0" w:color="auto" w:frame="1"/>
        </w:rPr>
        <w:t>corruption</w:t>
      </w:r>
      <w:proofErr w:type="spellEnd"/>
      <w:r>
        <w:rPr>
          <w:rFonts w:ascii="inherit" w:hAnsi="inherit"/>
          <w:b/>
          <w:bCs/>
          <w:sz w:val="22"/>
          <w:szCs w:val="22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b/>
          <w:bCs/>
          <w:sz w:val="22"/>
          <w:szCs w:val="22"/>
          <w:bdr w:val="none" w:sz="0" w:space="0" w:color="auto" w:frame="1"/>
        </w:rPr>
        <w:t>MODels</w:t>
      </w:r>
      <w:proofErr w:type="spellEnd"/>
      <w:r>
        <w:rPr>
          <w:rFonts w:ascii="inherit" w:hAnsi="inherit"/>
          <w:b/>
          <w:bCs/>
          <w:sz w:val="22"/>
          <w:szCs w:val="22"/>
          <w:bdr w:val="none" w:sz="0" w:space="0" w:color="auto" w:frame="1"/>
        </w:rPr>
        <w:t xml:space="preserve"> for candidate countries” </w:t>
      </w:r>
      <w:r>
        <w:rPr>
          <w:rFonts w:ascii="inherit" w:hAnsi="inherit"/>
          <w:sz w:val="22"/>
          <w:szCs w:val="22"/>
          <w:bdr w:val="none" w:sz="0" w:space="0" w:color="auto" w:frame="1"/>
        </w:rPr>
        <w:t>(</w:t>
      </w:r>
      <w:hyperlink r:id="rId9" w:tgtFrame="_blank" w:history="1">
        <w:r>
          <w:rPr>
            <w:rStyle w:val="Collegamentoipertestuale"/>
            <w:rFonts w:ascii="inherit" w:hAnsi="inherit"/>
            <w:sz w:val="22"/>
            <w:szCs w:val="22"/>
            <w:bdr w:val="none" w:sz="0" w:space="0" w:color="auto" w:frame="1"/>
          </w:rPr>
          <w:t>https://www.montesca.eu/APTA-MOD/</w:t>
        </w:r>
      </w:hyperlink>
      <w:r>
        <w:rPr>
          <w:rFonts w:ascii="inherit" w:hAnsi="inherit"/>
          <w:sz w:val="22"/>
          <w:szCs w:val="22"/>
          <w:bdr w:val="none" w:sz="0" w:space="0" w:color="auto" w:frame="1"/>
        </w:rPr>
        <w:t xml:space="preserve">), cofinanziato dal programma dell’Unione europea HERCULES III e coordinato dal prof. Enrico </w:t>
      </w:r>
      <w:proofErr w:type="spellStart"/>
      <w:r>
        <w:rPr>
          <w:rFonts w:ascii="inherit" w:hAnsi="inherit"/>
          <w:sz w:val="22"/>
          <w:szCs w:val="22"/>
          <w:bdr w:val="none" w:sz="0" w:space="0" w:color="auto" w:frame="1"/>
        </w:rPr>
        <w:t>Carloni</w:t>
      </w:r>
      <w:proofErr w:type="spellEnd"/>
      <w:r>
        <w:rPr>
          <w:rFonts w:ascii="inherit" w:hAnsi="inherit"/>
          <w:sz w:val="22"/>
          <w:szCs w:val="22"/>
          <w:bdr w:val="none" w:sz="0" w:space="0" w:color="auto" w:frame="1"/>
        </w:rPr>
        <w:t xml:space="preserve"> (Dipartimento di Scienze Politiche). 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rPr>
          <w:rFonts w:ascii="Work Sans" w:hAnsi="Work Sans"/>
          <w:color w:val="000000"/>
        </w:rPr>
      </w:pPr>
      <w:r>
        <w:rPr>
          <w:rFonts w:ascii="inherit" w:hAnsi="inherit"/>
          <w:sz w:val="22"/>
          <w:szCs w:val="22"/>
          <w:bdr w:val="none" w:sz="0" w:space="0" w:color="auto" w:frame="1"/>
        </w:rPr>
        <w:t>La prima sessione – </w:t>
      </w:r>
      <w:proofErr w:type="spellStart"/>
      <w:r>
        <w:rPr>
          <w:rFonts w:ascii="inherit" w:hAnsi="inherit"/>
          <w:i/>
          <w:iCs/>
          <w:sz w:val="22"/>
          <w:szCs w:val="22"/>
          <w:bdr w:val="none" w:sz="0" w:space="0" w:color="auto" w:frame="1"/>
        </w:rPr>
        <w:t>European</w:t>
      </w:r>
      <w:proofErr w:type="spellEnd"/>
      <w:r>
        <w:rPr>
          <w:rFonts w:ascii="inherit" w:hAnsi="inherit"/>
          <w:i/>
          <w:iCs/>
          <w:sz w:val="22"/>
          <w:szCs w:val="22"/>
          <w:bdr w:val="none" w:sz="0" w:space="0" w:color="auto" w:frame="1"/>
        </w:rPr>
        <w:t xml:space="preserve"> Union </w:t>
      </w:r>
      <w:proofErr w:type="spellStart"/>
      <w:r>
        <w:rPr>
          <w:rFonts w:ascii="inherit" w:hAnsi="inherit"/>
          <w:i/>
          <w:iCs/>
          <w:sz w:val="22"/>
          <w:szCs w:val="22"/>
          <w:bdr w:val="none" w:sz="0" w:space="0" w:color="auto" w:frame="1"/>
        </w:rPr>
        <w:t>Enlargement</w:t>
      </w:r>
      <w:proofErr w:type="spellEnd"/>
      <w:r>
        <w:rPr>
          <w:rFonts w:ascii="inherit" w:hAnsi="inherit"/>
          <w:i/>
          <w:iCs/>
          <w:sz w:val="22"/>
          <w:szCs w:val="22"/>
          <w:bdr w:val="none" w:sz="0" w:space="0" w:color="auto" w:frame="1"/>
        </w:rPr>
        <w:t xml:space="preserve"> to the Western </w:t>
      </w:r>
      <w:proofErr w:type="spellStart"/>
      <w:r>
        <w:rPr>
          <w:rFonts w:ascii="inherit" w:hAnsi="inherit"/>
          <w:i/>
          <w:iCs/>
          <w:sz w:val="22"/>
          <w:szCs w:val="22"/>
          <w:bdr w:val="none" w:sz="0" w:space="0" w:color="auto" w:frame="1"/>
        </w:rPr>
        <w:t>Balkans</w:t>
      </w:r>
      <w:proofErr w:type="spellEnd"/>
      <w:r>
        <w:rPr>
          <w:rFonts w:ascii="inherit" w:hAnsi="inherit"/>
          <w:i/>
          <w:iCs/>
          <w:sz w:val="22"/>
          <w:szCs w:val="22"/>
          <w:bdr w:val="none" w:sz="0" w:space="0" w:color="auto" w:frame="1"/>
        </w:rPr>
        <w:t xml:space="preserve"> and </w:t>
      </w:r>
      <w:proofErr w:type="spellStart"/>
      <w:r>
        <w:rPr>
          <w:rFonts w:ascii="inherit" w:hAnsi="inherit"/>
          <w:i/>
          <w:iCs/>
          <w:sz w:val="22"/>
          <w:szCs w:val="22"/>
          <w:bdr w:val="none" w:sz="0" w:space="0" w:color="auto" w:frame="1"/>
        </w:rPr>
        <w:t>Lessons</w:t>
      </w:r>
      <w:proofErr w:type="spellEnd"/>
      <w:r>
        <w:rPr>
          <w:rFonts w:ascii="inherit" w:hAnsi="inherit"/>
          <w:i/>
          <w:iCs/>
          <w:sz w:val="22"/>
          <w:szCs w:val="22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i/>
          <w:iCs/>
          <w:sz w:val="22"/>
          <w:szCs w:val="22"/>
          <w:bdr w:val="none" w:sz="0" w:space="0" w:color="auto" w:frame="1"/>
        </w:rPr>
        <w:t>Learned</w:t>
      </w:r>
      <w:proofErr w:type="spellEnd"/>
      <w:r>
        <w:rPr>
          <w:rFonts w:ascii="inherit" w:hAnsi="inherit"/>
          <w:i/>
          <w:iCs/>
          <w:sz w:val="22"/>
          <w:szCs w:val="22"/>
          <w:bdr w:val="none" w:sz="0" w:space="0" w:color="auto" w:frame="1"/>
        </w:rPr>
        <w:t xml:space="preserve"> from the New Member </w:t>
      </w:r>
      <w:proofErr w:type="spellStart"/>
      <w:r>
        <w:rPr>
          <w:rFonts w:ascii="inherit" w:hAnsi="inherit"/>
          <w:i/>
          <w:iCs/>
          <w:sz w:val="22"/>
          <w:szCs w:val="22"/>
          <w:bdr w:val="none" w:sz="0" w:space="0" w:color="auto" w:frame="1"/>
        </w:rPr>
        <w:t>States</w:t>
      </w:r>
      <w:proofErr w:type="spellEnd"/>
      <w:r>
        <w:rPr>
          <w:rFonts w:ascii="inherit" w:hAnsi="inherit"/>
          <w:sz w:val="22"/>
          <w:szCs w:val="22"/>
          <w:bdr w:val="none" w:sz="0" w:space="0" w:color="auto" w:frame="1"/>
        </w:rPr>
        <w:t> – si concentrerà sulle principali sfide, tra allargamento e democratizzazione, per un’area, quella balcanica, di primario interesse per l’Unione europea.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rPr>
          <w:rFonts w:ascii="Work Sans" w:hAnsi="Work Sans"/>
          <w:color w:val="000000"/>
        </w:rPr>
      </w:pPr>
      <w:r>
        <w:rPr>
          <w:rFonts w:ascii="inherit" w:hAnsi="inherit"/>
          <w:sz w:val="22"/>
          <w:szCs w:val="22"/>
          <w:bdr w:val="none" w:sz="0" w:space="0" w:color="auto" w:frame="1"/>
        </w:rPr>
        <w:lastRenderedPageBreak/>
        <w:t xml:space="preserve">Relazioneranno sul tema docenti provenienti, oltre che dell’Università degli Studi di Perugia, da quella di Belgrado, di Bologna, del Sussex, </w:t>
      </w:r>
      <w:proofErr w:type="gramStart"/>
      <w:r>
        <w:rPr>
          <w:rFonts w:ascii="inherit" w:hAnsi="inherit"/>
          <w:sz w:val="22"/>
          <w:szCs w:val="22"/>
          <w:bdr w:val="none" w:sz="0" w:space="0" w:color="auto" w:frame="1"/>
        </w:rPr>
        <w:t xml:space="preserve">dell’ </w:t>
      </w:r>
      <w:proofErr w:type="spellStart"/>
      <w:r>
        <w:rPr>
          <w:rFonts w:ascii="inherit" w:hAnsi="inherit"/>
          <w:sz w:val="22"/>
          <w:szCs w:val="22"/>
          <w:bdr w:val="none" w:sz="0" w:space="0" w:color="auto" w:frame="1"/>
        </w:rPr>
        <w:t>European</w:t>
      </w:r>
      <w:proofErr w:type="spellEnd"/>
      <w:proofErr w:type="gramEnd"/>
      <w:r>
        <w:rPr>
          <w:rFonts w:ascii="inherit" w:hAnsi="inherit"/>
          <w:sz w:val="22"/>
          <w:szCs w:val="22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sz w:val="22"/>
          <w:szCs w:val="22"/>
          <w:bdr w:val="none" w:sz="0" w:space="0" w:color="auto" w:frame="1"/>
        </w:rPr>
        <w:t>University</w:t>
      </w:r>
      <w:proofErr w:type="spellEnd"/>
      <w:r>
        <w:rPr>
          <w:rFonts w:ascii="inherit" w:hAnsi="inherit"/>
          <w:sz w:val="22"/>
          <w:szCs w:val="22"/>
          <w:bdr w:val="none" w:sz="0" w:space="0" w:color="auto" w:frame="1"/>
        </w:rPr>
        <w:t xml:space="preserve"> Institute e della London School of </w:t>
      </w:r>
      <w:proofErr w:type="spellStart"/>
      <w:r>
        <w:rPr>
          <w:rFonts w:ascii="inherit" w:hAnsi="inherit"/>
          <w:sz w:val="22"/>
          <w:szCs w:val="22"/>
          <w:bdr w:val="none" w:sz="0" w:space="0" w:color="auto" w:frame="1"/>
        </w:rPr>
        <w:t>Economics</w:t>
      </w:r>
      <w:proofErr w:type="spellEnd"/>
      <w:r>
        <w:rPr>
          <w:rFonts w:ascii="inherit" w:hAnsi="inherit"/>
          <w:sz w:val="22"/>
          <w:szCs w:val="22"/>
          <w:bdr w:val="none" w:sz="0" w:space="0" w:color="auto" w:frame="1"/>
        </w:rPr>
        <w:t>.  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rPr>
          <w:rFonts w:ascii="Work Sans" w:hAnsi="Work Sans"/>
          <w:color w:val="000000"/>
        </w:rPr>
      </w:pPr>
      <w:r>
        <w:rPr>
          <w:rFonts w:ascii="inherit" w:hAnsi="inherit"/>
          <w:sz w:val="22"/>
          <w:szCs w:val="22"/>
          <w:bdr w:val="none" w:sz="0" w:space="0" w:color="auto" w:frame="1"/>
        </w:rPr>
        <w:t>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rPr>
          <w:rFonts w:ascii="Work Sans" w:hAnsi="Work Sans"/>
          <w:color w:val="000000"/>
        </w:rPr>
      </w:pPr>
      <w:r>
        <w:rPr>
          <w:rFonts w:ascii="inherit" w:hAnsi="inherit"/>
          <w:sz w:val="22"/>
          <w:szCs w:val="22"/>
          <w:bdr w:val="none" w:sz="0" w:space="0" w:color="auto" w:frame="1"/>
        </w:rPr>
        <w:t>Successivamente sarà dato spazio ai principali filoni di studio portati avanti dal progetto APTA-MOD</w:t>
      </w:r>
      <w:r>
        <w:rPr>
          <w:rFonts w:ascii="inherit" w:hAnsi="inherit"/>
          <w:color w:val="000000"/>
          <w:sz w:val="22"/>
          <w:szCs w:val="22"/>
          <w:bdr w:val="none" w:sz="0" w:space="0" w:color="auto" w:frame="1"/>
        </w:rPr>
        <w:t>, </w:t>
      </w:r>
      <w:r>
        <w:rPr>
          <w:rFonts w:ascii="inherit" w:hAnsi="inherit"/>
          <w:sz w:val="22"/>
          <w:szCs w:val="22"/>
          <w:bdr w:val="none" w:sz="0" w:space="0" w:color="auto" w:frame="1"/>
        </w:rPr>
        <w:t xml:space="preserve">con la rassegna delle principali tematiche di progetto. Vedrà, infine, la partecipazione di numerosi ospiti istituzionali esteri la tavola rotonda conclusiva con l’intervento di relatori dall’High </w:t>
      </w:r>
      <w:proofErr w:type="spellStart"/>
      <w:r>
        <w:rPr>
          <w:rFonts w:ascii="inherit" w:hAnsi="inherit"/>
          <w:sz w:val="22"/>
          <w:szCs w:val="22"/>
          <w:bdr w:val="none" w:sz="0" w:space="0" w:color="auto" w:frame="1"/>
        </w:rPr>
        <w:t>Prosecutorial</w:t>
      </w:r>
      <w:proofErr w:type="spellEnd"/>
      <w:r>
        <w:rPr>
          <w:rFonts w:ascii="inherit" w:hAnsi="inherit"/>
          <w:sz w:val="22"/>
          <w:szCs w:val="22"/>
          <w:bdr w:val="none" w:sz="0" w:space="0" w:color="auto" w:frame="1"/>
        </w:rPr>
        <w:t xml:space="preserve"> Council e dal Ministero della Giustizia albanesi, dall’Agenzia per la prevenzione della corruzione del Montenegro e della North Macedonia, così come dalla </w:t>
      </w:r>
      <w:proofErr w:type="spellStart"/>
      <w:r>
        <w:rPr>
          <w:rFonts w:ascii="inherit" w:hAnsi="inherit"/>
          <w:sz w:val="22"/>
          <w:szCs w:val="22"/>
          <w:bdr w:val="none" w:sz="0" w:space="0" w:color="auto" w:frame="1"/>
        </w:rPr>
        <w:t>Macedonian</w:t>
      </w:r>
      <w:proofErr w:type="spellEnd"/>
      <w:r>
        <w:rPr>
          <w:rFonts w:ascii="inherit" w:hAnsi="inherit"/>
          <w:sz w:val="22"/>
          <w:szCs w:val="22"/>
          <w:bdr w:val="none" w:sz="0" w:space="0" w:color="auto" w:frame="1"/>
        </w:rPr>
        <w:t xml:space="preserve"> Academy of Sciences and </w:t>
      </w:r>
      <w:proofErr w:type="spellStart"/>
      <w:r>
        <w:rPr>
          <w:rFonts w:ascii="inherit" w:hAnsi="inherit"/>
          <w:sz w:val="22"/>
          <w:szCs w:val="22"/>
          <w:bdr w:val="none" w:sz="0" w:space="0" w:color="auto" w:frame="1"/>
        </w:rPr>
        <w:t>Arts</w:t>
      </w:r>
      <w:proofErr w:type="spellEnd"/>
      <w:r>
        <w:rPr>
          <w:rFonts w:ascii="inherit" w:hAnsi="inherit"/>
          <w:sz w:val="22"/>
          <w:szCs w:val="22"/>
          <w:bdr w:val="none" w:sz="0" w:space="0" w:color="auto" w:frame="1"/>
        </w:rPr>
        <w:t xml:space="preserve"> e dal ministero della Giustizia serbo. </w:t>
      </w:r>
      <w:r>
        <w:rPr>
          <w:rFonts w:ascii="inherit" w:hAnsi="inherit"/>
          <w:b/>
          <w:bCs/>
          <w:sz w:val="22"/>
          <w:szCs w:val="22"/>
          <w:bdr w:val="none" w:sz="0" w:space="0" w:color="auto" w:frame="1"/>
        </w:rPr>
        <w:t>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Il programma della due giorni è disponibile al seguente link: 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hyperlink r:id="rId10" w:tgtFrame="_blank" w:history="1">
        <w:r>
          <w:rPr>
            <w:rStyle w:val="Collegamentoipertestuale"/>
            <w:rFonts w:ascii="Work Sans" w:hAnsi="Work Sans"/>
            <w:sz w:val="22"/>
            <w:szCs w:val="22"/>
            <w:bdr w:val="none" w:sz="0" w:space="0" w:color="auto" w:frame="1"/>
          </w:rPr>
          <w:t>https://www.unipg.it/files/eventi/2021/2021-12-02-corruption.pdf</w:t>
        </w:r>
      </w:hyperlink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br/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______________________________________________________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Info: Prof. Enrico </w:t>
      </w:r>
      <w:proofErr w:type="spellStart"/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Carloni</w:t>
      </w:r>
      <w:proofErr w:type="spellEnd"/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 enrico.carloni@unipg.it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color w:val="201F1E"/>
        </w:rPr>
        <w:t>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color w:val="201F1E"/>
        </w:rPr>
        <w:t>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color w:val="201F1E"/>
        </w:rPr>
        <w:t>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725206" w:rsidRDefault="00725206" w:rsidP="00725206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Perugia, </w:t>
      </w:r>
      <w:proofErr w:type="gramStart"/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1  dicembre</w:t>
      </w:r>
      <w:proofErr w:type="gramEnd"/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 2021 </w:t>
      </w:r>
    </w:p>
    <w:p w:rsidR="00495968" w:rsidRPr="00725206" w:rsidRDefault="00495968" w:rsidP="00725206"/>
    <w:sectPr w:rsidR="00495968" w:rsidRPr="00725206" w:rsidSect="00A971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383B" w:rsidRDefault="00D4383B" w:rsidP="00A97116">
      <w:r>
        <w:separator/>
      </w:r>
    </w:p>
  </w:endnote>
  <w:endnote w:type="continuationSeparator" w:id="0">
    <w:p w:rsidR="00D4383B" w:rsidRDefault="00D4383B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9459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383B" w:rsidRDefault="00D4383B" w:rsidP="00A97116">
      <w:r>
        <w:separator/>
      </w:r>
    </w:p>
  </w:footnote>
  <w:footnote w:type="continuationSeparator" w:id="0">
    <w:p w:rsidR="00D4383B" w:rsidRDefault="00D4383B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D4383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D4383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D4383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57872"/>
    <w:rsid w:val="000A005B"/>
    <w:rsid w:val="000A03D9"/>
    <w:rsid w:val="000A2F6F"/>
    <w:rsid w:val="000B64BF"/>
    <w:rsid w:val="000B7497"/>
    <w:rsid w:val="000D7C00"/>
    <w:rsid w:val="001029A5"/>
    <w:rsid w:val="001127B2"/>
    <w:rsid w:val="0012138C"/>
    <w:rsid w:val="00144CBA"/>
    <w:rsid w:val="001572BD"/>
    <w:rsid w:val="00176A81"/>
    <w:rsid w:val="001842B2"/>
    <w:rsid w:val="00184583"/>
    <w:rsid w:val="001A17E2"/>
    <w:rsid w:val="001A2E47"/>
    <w:rsid w:val="001C24A0"/>
    <w:rsid w:val="001D0BFB"/>
    <w:rsid w:val="001D4182"/>
    <w:rsid w:val="001D4811"/>
    <w:rsid w:val="001E0B2F"/>
    <w:rsid w:val="001F16B2"/>
    <w:rsid w:val="00206672"/>
    <w:rsid w:val="00232CAD"/>
    <w:rsid w:val="00262D04"/>
    <w:rsid w:val="0026695B"/>
    <w:rsid w:val="0027576C"/>
    <w:rsid w:val="0029679F"/>
    <w:rsid w:val="002A34DB"/>
    <w:rsid w:val="002B3588"/>
    <w:rsid w:val="002C63C6"/>
    <w:rsid w:val="002D2F55"/>
    <w:rsid w:val="002E7545"/>
    <w:rsid w:val="0031449D"/>
    <w:rsid w:val="00346C1F"/>
    <w:rsid w:val="00371E4B"/>
    <w:rsid w:val="00372829"/>
    <w:rsid w:val="00381E62"/>
    <w:rsid w:val="003A2B60"/>
    <w:rsid w:val="003A303A"/>
    <w:rsid w:val="003A55F7"/>
    <w:rsid w:val="003D1321"/>
    <w:rsid w:val="003D517F"/>
    <w:rsid w:val="003F3860"/>
    <w:rsid w:val="00415822"/>
    <w:rsid w:val="0042068C"/>
    <w:rsid w:val="004235BD"/>
    <w:rsid w:val="004237F0"/>
    <w:rsid w:val="00465384"/>
    <w:rsid w:val="00465C29"/>
    <w:rsid w:val="00495968"/>
    <w:rsid w:val="004A1E19"/>
    <w:rsid w:val="004D6941"/>
    <w:rsid w:val="005226C4"/>
    <w:rsid w:val="0054363F"/>
    <w:rsid w:val="00544400"/>
    <w:rsid w:val="00553162"/>
    <w:rsid w:val="00555F10"/>
    <w:rsid w:val="00577169"/>
    <w:rsid w:val="005A6788"/>
    <w:rsid w:val="005C0B48"/>
    <w:rsid w:val="005C1D47"/>
    <w:rsid w:val="005C1D96"/>
    <w:rsid w:val="005C469E"/>
    <w:rsid w:val="005D6909"/>
    <w:rsid w:val="005E02F1"/>
    <w:rsid w:val="005E0412"/>
    <w:rsid w:val="005F39CE"/>
    <w:rsid w:val="006015F4"/>
    <w:rsid w:val="006053E8"/>
    <w:rsid w:val="00605BB5"/>
    <w:rsid w:val="00617E99"/>
    <w:rsid w:val="006207E4"/>
    <w:rsid w:val="00633B80"/>
    <w:rsid w:val="0063667F"/>
    <w:rsid w:val="00637416"/>
    <w:rsid w:val="00665F63"/>
    <w:rsid w:val="00670ADA"/>
    <w:rsid w:val="006A25DF"/>
    <w:rsid w:val="006B184F"/>
    <w:rsid w:val="006E3238"/>
    <w:rsid w:val="006F5E39"/>
    <w:rsid w:val="007128CE"/>
    <w:rsid w:val="00714F7C"/>
    <w:rsid w:val="00725206"/>
    <w:rsid w:val="00743734"/>
    <w:rsid w:val="00752EF6"/>
    <w:rsid w:val="00780492"/>
    <w:rsid w:val="007959A3"/>
    <w:rsid w:val="007959EE"/>
    <w:rsid w:val="007A6142"/>
    <w:rsid w:val="007B4459"/>
    <w:rsid w:val="007D2872"/>
    <w:rsid w:val="007D507B"/>
    <w:rsid w:val="00800E7C"/>
    <w:rsid w:val="00816489"/>
    <w:rsid w:val="00835285"/>
    <w:rsid w:val="008478EC"/>
    <w:rsid w:val="00856670"/>
    <w:rsid w:val="00881C22"/>
    <w:rsid w:val="008D5FDA"/>
    <w:rsid w:val="008F46A2"/>
    <w:rsid w:val="009213D0"/>
    <w:rsid w:val="0093456C"/>
    <w:rsid w:val="009417C4"/>
    <w:rsid w:val="0094592E"/>
    <w:rsid w:val="00950C59"/>
    <w:rsid w:val="009625D4"/>
    <w:rsid w:val="009679FA"/>
    <w:rsid w:val="00967BEE"/>
    <w:rsid w:val="00977A1D"/>
    <w:rsid w:val="009835E5"/>
    <w:rsid w:val="00983ECC"/>
    <w:rsid w:val="00991958"/>
    <w:rsid w:val="00992C3C"/>
    <w:rsid w:val="009A4F67"/>
    <w:rsid w:val="009A7396"/>
    <w:rsid w:val="00A04371"/>
    <w:rsid w:val="00A04B8B"/>
    <w:rsid w:val="00A05719"/>
    <w:rsid w:val="00A07B32"/>
    <w:rsid w:val="00A22995"/>
    <w:rsid w:val="00A92759"/>
    <w:rsid w:val="00A931E8"/>
    <w:rsid w:val="00A97116"/>
    <w:rsid w:val="00AA752B"/>
    <w:rsid w:val="00AC6EA7"/>
    <w:rsid w:val="00AE4740"/>
    <w:rsid w:val="00AF4C27"/>
    <w:rsid w:val="00AF7F68"/>
    <w:rsid w:val="00B24466"/>
    <w:rsid w:val="00B30013"/>
    <w:rsid w:val="00B614BC"/>
    <w:rsid w:val="00B8408A"/>
    <w:rsid w:val="00B94477"/>
    <w:rsid w:val="00BA011A"/>
    <w:rsid w:val="00BA421D"/>
    <w:rsid w:val="00BA74FE"/>
    <w:rsid w:val="00BC68CC"/>
    <w:rsid w:val="00BE6D66"/>
    <w:rsid w:val="00BE6F86"/>
    <w:rsid w:val="00BE7104"/>
    <w:rsid w:val="00BF05BA"/>
    <w:rsid w:val="00BF15D6"/>
    <w:rsid w:val="00BF2514"/>
    <w:rsid w:val="00BF3027"/>
    <w:rsid w:val="00BF512E"/>
    <w:rsid w:val="00C163D4"/>
    <w:rsid w:val="00C3322F"/>
    <w:rsid w:val="00C379DC"/>
    <w:rsid w:val="00C41074"/>
    <w:rsid w:val="00C42DA9"/>
    <w:rsid w:val="00C45593"/>
    <w:rsid w:val="00C552F7"/>
    <w:rsid w:val="00C739FF"/>
    <w:rsid w:val="00CA65A5"/>
    <w:rsid w:val="00CB4C0F"/>
    <w:rsid w:val="00CD2D1F"/>
    <w:rsid w:val="00CE5BCD"/>
    <w:rsid w:val="00D42FF8"/>
    <w:rsid w:val="00D4383B"/>
    <w:rsid w:val="00D463B9"/>
    <w:rsid w:val="00D47055"/>
    <w:rsid w:val="00D52651"/>
    <w:rsid w:val="00D95745"/>
    <w:rsid w:val="00DD1156"/>
    <w:rsid w:val="00DD355E"/>
    <w:rsid w:val="00E26B5A"/>
    <w:rsid w:val="00E3478D"/>
    <w:rsid w:val="00E56999"/>
    <w:rsid w:val="00E57A8C"/>
    <w:rsid w:val="00E6071E"/>
    <w:rsid w:val="00E64442"/>
    <w:rsid w:val="00E87555"/>
    <w:rsid w:val="00E91778"/>
    <w:rsid w:val="00EA4731"/>
    <w:rsid w:val="00EC0468"/>
    <w:rsid w:val="00EC0DAE"/>
    <w:rsid w:val="00EC37E3"/>
    <w:rsid w:val="00ED4D16"/>
    <w:rsid w:val="00EE4F2C"/>
    <w:rsid w:val="00EF7053"/>
    <w:rsid w:val="00F10169"/>
    <w:rsid w:val="00F149C8"/>
    <w:rsid w:val="00F26E52"/>
    <w:rsid w:val="00F33A51"/>
    <w:rsid w:val="00F71F1A"/>
    <w:rsid w:val="00F83D1C"/>
    <w:rsid w:val="00F92026"/>
    <w:rsid w:val="00FA5D01"/>
    <w:rsid w:val="00FA799E"/>
    <w:rsid w:val="00FB6429"/>
    <w:rsid w:val="00FC4165"/>
    <w:rsid w:val="00FE1190"/>
    <w:rsid w:val="00FE24BE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BE73A59A-6441-457F-92DD-79EE3EC60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liticanti.sp.unipi.it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unipg.it/files/eventi/2021/2021-12-02-corruption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ontesca.eu/APTA-MOD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B5D5D8A-D8F7-480E-82BF-B0AEDA4BD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2</cp:revision>
  <cp:lastPrinted>2021-11-26T10:58:00Z</cp:lastPrinted>
  <dcterms:created xsi:type="dcterms:W3CDTF">2021-12-02T08:15:00Z</dcterms:created>
  <dcterms:modified xsi:type="dcterms:W3CDTF">2021-12-02T08:15:00Z</dcterms:modified>
</cp:coreProperties>
</file>