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E35115" w:rsidP="00116163">
      <w:pPr>
        <w:shd w:val="clear" w:color="auto" w:fill="FFFFFF"/>
        <w:spacing w:after="0"/>
        <w:jc w:val="center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C56163" w:rsidRPr="00C56163" w:rsidRDefault="00C56163" w:rsidP="00C5616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1817"/>
          <w:sz w:val="15"/>
          <w:szCs w:val="15"/>
          <w:lang w:eastAsia="it-IT"/>
        </w:rPr>
      </w:pPr>
    </w:p>
    <w:p w:rsidR="00C56163" w:rsidRPr="00C56163" w:rsidRDefault="00C56163" w:rsidP="00C56163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Aperte fino al 7 gennaio 2022 le iscrizioni all’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undicesima edizione  </w:t>
      </w:r>
    </w:p>
    <w:p w:rsidR="00C56163" w:rsidRPr="00C56163" w:rsidRDefault="00C56163" w:rsidP="00C56163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della </w:t>
      </w:r>
      <w:bookmarkStart w:id="0" w:name="_GoBack"/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Scuola di Paleoantropologia </w:t>
      </w:r>
      <w:bookmarkEnd w:id="0"/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- </w:t>
      </w:r>
      <w:r w:rsidRPr="00C5616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it-IT"/>
        </w:rPr>
        <w:t>Perugia, 14-19 febbraio 2022</w:t>
      </w:r>
    </w:p>
    <w:p w:rsidR="00C56163" w:rsidRPr="00C56163" w:rsidRDefault="00C56163" w:rsidP="00C56163">
      <w:pPr>
        <w:shd w:val="clear" w:color="auto" w:fill="FFFFFF"/>
        <w:spacing w:after="0" w:line="276" w:lineRule="atLeast"/>
        <w:jc w:val="center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Arial" w:eastAsia="Times New Roman" w:hAnsi="Arial" w:cs="Arial"/>
          <w:b/>
          <w:bCs/>
          <w:color w:val="201F1E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Aperte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fino al 7 gennaio 2022 alle ore 12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le iscrizioni all’undicesima edizione della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Scuola di Paleoantropologia, 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che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si terrà a Perugia dal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14 al 19 febbraio 2022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. 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La Scuola, che rappresenta un’occasione unica nel panorama nazionale per il perfezionamento e l’approfondimento delle conoscenze sul tema dell’evoluzione umana, è organizzata dal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Dipartimento di Fisica e Geologia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e dal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Centro di Ateneo per i Musei Scientifici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dell’Università degli Studi di Perugia. 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La Scuola di Paleoantropologia prevede due livelli di formazione: una formazione di base, aperta a studenti, laureati, dottorandi, insegnanti e semplici appassionati, con l’obiettivo di fornire una conoscenza di base nel campo della paleoantropologia e delle discipline correlate, e un secondo livello, ovvero un corso specialistico e professionalizzante focalizzato, di anno in anno, su uno specifico tema o approccio metodologico, destinato a partecipanti con buone basi in paleoantropologia e/o discipline correlate. Il corso avanzato sarà dedicato quest’anno al tema “Australopiteci bipedi ma non (ancora) umani”. All'argomento del secondo livello formativo è associato anche un concorso di illustrazione e fotografia, la cui scadenza è fissata al 31 gennaio 2022: il vincitore del concorso potrà partecipare gratuitamente alla Scuola di Paleoantropologia 2023. Tutte le info sul sito www.paleoantropologia.it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Le lezioni della Scuola si terranno a Perugia, presso il Rettorato, in Piazza Università. L’ultima giornata, sabato 19 febbraio, sarà caratterizzata dalla conferenza conclusiva del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Prof. Lee Berger.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I partecipanti alla Scuola di Paleoantropologia, inoltre, se interessati, hanno la possibilità di essere selezionati per partecipare alle attività di ricerca in Tanzania (per informazioni www.thorproject.it), i cui dettagli saranno diffusi nei prossimi mesi sul sito www.paleoantropologia.it e sui social network della Scuola.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La Scuola, infatti, è impegnata da anni in attività didattiche e di ricerca nella Gola di </w:t>
      </w:r>
      <w:proofErr w:type="spellStart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Olduvai</w:t>
      </w:r>
      <w:proofErr w:type="spellEnd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(Tanzania) in collaborazione con la </w:t>
      </w:r>
      <w:proofErr w:type="spellStart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University</w:t>
      </w:r>
      <w:proofErr w:type="spellEnd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 of Dar Es Salaam (Prof. Fidelis T. Masao). Le attività sul campo si svolgono generalmente tra la seconda metà di agosto e la prima metà di settembre. Naturalmente l’effettivo svolgimento della ricerca sul campo nel 2022 dipenderà dall’evoluzione della pandemia Covid-19 e dalle relative restrizioni per i viaggi internazionali.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Tutte le informazioni sono disponibili all’indirizzo </w:t>
      </w: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www.paleoantropologia.it 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lastRenderedPageBreak/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Segreteria e informazioni 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Marco </w:t>
      </w:r>
      <w:proofErr w:type="spellStart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Cherin</w:t>
      </w:r>
      <w:proofErr w:type="spellEnd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 </w:t>
      </w: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e Beatrice </w:t>
      </w:r>
      <w:proofErr w:type="spellStart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Azzarà</w:t>
      </w:r>
      <w:proofErr w:type="spellEnd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 xml:space="preserve">Dipartimento di Fisica e </w:t>
      </w:r>
      <w:proofErr w:type="gramStart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Geologia  -</w:t>
      </w:r>
      <w:proofErr w:type="gramEnd"/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 Università degli Studi di Perugia </w:t>
      </w:r>
      <w:r w:rsidRPr="00C56163">
        <w:rPr>
          <w:rFonts w:ascii="Arial" w:eastAsia="Times New Roman" w:hAnsi="Arial" w:cs="Arial"/>
          <w:color w:val="201F1E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Tel. 075.5852626 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lang w:eastAsia="it-IT"/>
        </w:rPr>
      </w:pPr>
      <w:r w:rsidRPr="00C56163">
        <w:rPr>
          <w:rFonts w:ascii="Work Sans" w:eastAsia="Times New Roman" w:hAnsi="Work Sans" w:cs="Arial"/>
          <w:color w:val="000000"/>
          <w:sz w:val="22"/>
          <w:szCs w:val="22"/>
          <w:bdr w:val="none" w:sz="0" w:space="0" w:color="auto" w:frame="1"/>
          <w:lang w:eastAsia="it-IT"/>
        </w:rPr>
        <w:t>E-mail: info@paleoantropologia.it</w:t>
      </w:r>
      <w:r w:rsidRPr="00C56163">
        <w:rPr>
          <w:rFonts w:ascii="Work Sans" w:eastAsia="Times New Roman" w:hAnsi="Work Sans" w:cs="Arial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7"/>
          <w:sz w:val="17"/>
          <w:szCs w:val="17"/>
          <w:lang w:eastAsia="it-IT"/>
        </w:rPr>
      </w:pP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7"/>
          <w:sz w:val="17"/>
          <w:szCs w:val="17"/>
          <w:lang w:eastAsia="it-IT"/>
        </w:rPr>
      </w:pPr>
    </w:p>
    <w:p w:rsidR="00C56163" w:rsidRPr="00C56163" w:rsidRDefault="00C56163" w:rsidP="00C561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7"/>
          <w:sz w:val="17"/>
          <w:szCs w:val="17"/>
          <w:lang w:eastAsia="it-IT"/>
        </w:rPr>
      </w:pPr>
      <w:r w:rsidRPr="00C56163">
        <w:rPr>
          <w:rFonts w:ascii="Work Sans" w:eastAsia="Times New Roman" w:hAnsi="Work Sans" w:cs="Times New Roman"/>
          <w:b/>
          <w:bCs/>
          <w:color w:val="181817"/>
          <w:sz w:val="22"/>
          <w:szCs w:val="22"/>
          <w:bdr w:val="none" w:sz="0" w:space="0" w:color="auto" w:frame="1"/>
          <w:lang w:eastAsia="it-IT"/>
        </w:rPr>
        <w:t>Perugia, 30 dicembre 2021 </w:t>
      </w:r>
    </w:p>
    <w:p w:rsidR="00AF29D5" w:rsidRPr="00610405" w:rsidRDefault="00AF29D5" w:rsidP="008063B6">
      <w:pPr>
        <w:shd w:val="clear" w:color="auto" w:fill="FFFFFF"/>
        <w:spacing w:after="0" w:line="240" w:lineRule="auto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sectPr w:rsidR="00AF29D5" w:rsidRPr="00610405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748" w:rsidRDefault="005A4748" w:rsidP="005C2BD2">
      <w:r>
        <w:separator/>
      </w:r>
    </w:p>
  </w:endnote>
  <w:endnote w:type="continuationSeparator" w:id="0">
    <w:p w:rsidR="005A4748" w:rsidRDefault="005A4748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748" w:rsidRDefault="005A4748" w:rsidP="005C2BD2">
      <w:r>
        <w:separator/>
      </w:r>
    </w:p>
  </w:footnote>
  <w:footnote w:type="continuationSeparator" w:id="0">
    <w:p w:rsidR="005A4748" w:rsidRDefault="005A4748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5A474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5A474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5A474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6163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0622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6CC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471FE"/>
    <w:rsid w:val="00555A3B"/>
    <w:rsid w:val="00565C45"/>
    <w:rsid w:val="00570E73"/>
    <w:rsid w:val="005749DB"/>
    <w:rsid w:val="005824A0"/>
    <w:rsid w:val="005A22B2"/>
    <w:rsid w:val="005A23FD"/>
    <w:rsid w:val="005A4748"/>
    <w:rsid w:val="005B0E35"/>
    <w:rsid w:val="005B6A28"/>
    <w:rsid w:val="005C2BD2"/>
    <w:rsid w:val="005C4294"/>
    <w:rsid w:val="005C5CA4"/>
    <w:rsid w:val="005E251D"/>
    <w:rsid w:val="005E2C4E"/>
    <w:rsid w:val="00610405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0AF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56163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A43F8"/>
    <w:rsid w:val="00EB4770"/>
    <w:rsid w:val="00EC4CC7"/>
    <w:rsid w:val="00EC6566"/>
    <w:rsid w:val="00ED0ACA"/>
    <w:rsid w:val="00EE2ACA"/>
    <w:rsid w:val="00EE6B64"/>
    <w:rsid w:val="00EF1EC4"/>
    <w:rsid w:val="00EF3D63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34C0-BE13-4F1B-9A76-1B6B3ABC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2022-01-12T07:22:00Z</dcterms:created>
  <dcterms:modified xsi:type="dcterms:W3CDTF">2022-01-12T07:22:00Z</dcterms:modified>
</cp:coreProperties>
</file>