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1E6C2E" w:rsidRPr="001E6C2E" w:rsidRDefault="001E6C2E" w:rsidP="001E6C2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1E6C2E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1E6C2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Verdana" w:eastAsia="Times New Roman" w:hAnsi="Verdana" w:cs="Calibri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 </w:t>
      </w:r>
      <w:r w:rsidRPr="001E6C2E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1E6C2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  <w:r w:rsidRPr="001E6C2E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1E6C2E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Ricercatori dell’Ateneo di Perugia contribuiscono ad una innovativa terapia genica  </w:t>
      </w:r>
    </w:p>
    <w:p w:rsidR="001E6C2E" w:rsidRPr="001E6C2E" w:rsidRDefault="001E6C2E" w:rsidP="001E6C2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per la leucodistrofia metacromatica  </w:t>
      </w:r>
    </w:p>
    <w:p w:rsidR="001E6C2E" w:rsidRPr="001E6C2E" w:rsidRDefault="001E6C2E" w:rsidP="001E6C2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I risultati pubblicati su </w:t>
      </w:r>
      <w:r w:rsidRPr="001E6C2E">
        <w:rPr>
          <w:rFonts w:ascii="Work Sans" w:eastAsia="Times New Roman" w:hAnsi="Work Sans" w:cs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it-IT"/>
        </w:rPr>
        <w:t>The Lancet</w:t>
      </w:r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 </w:t>
      </w:r>
    </w:p>
    <w:p w:rsidR="001E6C2E" w:rsidRPr="001E6C2E" w:rsidRDefault="001E6C2E" w:rsidP="001E6C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1E6C2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L’</w:t>
      </w:r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Università degli Studi di Perugia</w:t>
      </w: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ha contribuito allo sviluppo dell’unica terapia esistente in grado di curare i bambini affetti dalla </w:t>
      </w:r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Leucodistrofia Metacromatica</w:t>
      </w: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(MLD), una malattia genetica rara fino ad oggi incurabile e letale nei primi anni di vita. La terapia, frutto di un grande e lungo lavoro fra équipe diverse appartenenti a vari enti di ricerca, dal dicembre 2020 ha avuto l’approvazione dall’Agenzia Europea del Farmaco (EMA), diventando un farmaco per terapia genica, il </w:t>
      </w:r>
      <w:proofErr w:type="spellStart"/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Libmeldy</w:t>
      </w:r>
      <w:proofErr w:type="spellEnd"/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 I confortanti risultati ottenuti con il farmaco su 29 bambini affetti da MLD sono stati pubblicati recentemente dalla prestigiosa rivista </w:t>
      </w:r>
      <w:r w:rsidRPr="001E6C2E">
        <w:rPr>
          <w:rFonts w:ascii="Work Sans" w:eastAsia="Times New Roman" w:hAnsi="Work Sans" w:cs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it-IT"/>
        </w:rPr>
        <w:t>The Lancet</w:t>
      </w: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 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Questa terapia per curare i bambini affetti dalla Leucodistrofia Metacromatica (MLD), messa a punto presso il Telethon Institute for Gene Therapy – Ospedale S. Raffaele (TIGET-HSR) di Milano, di cui è responsabile il Prof. Alessandro Aiuti, in collaborazione con </w:t>
      </w:r>
      <w:proofErr w:type="spellStart"/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Orchard</w:t>
      </w:r>
      <w:proofErr w:type="spellEnd"/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Therapeutics</w:t>
      </w:r>
      <w:proofErr w:type="spellEnd"/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(UK), consiste nel trapianto di midollo di cellule staminali emopoietiche autologhe del paziente, corrette geneticamente con la tecnica della terapia genica, al fine di ripristinare la funzione del gene difettivo.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Nell’ambito di questo progetto biomedico, l’Ateneo di Perugia, ed in particolare la Prof.ssa </w:t>
      </w:r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Sabata Martino</w:t>
      </w: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e il Dott. </w:t>
      </w:r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Francesco Morena</w:t>
      </w: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, della sezione di Scienze Biochimiche e </w:t>
      </w:r>
      <w:proofErr w:type="gramStart"/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Biotecnologiche  del</w:t>
      </w:r>
      <w:proofErr w:type="gramEnd"/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Dipartimento di </w:t>
      </w:r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Chimica, Biologia e Biotecnologie, sezione di cui è responsabile la Prof.ssa </w:t>
      </w:r>
      <w:r w:rsidRPr="001E6C2E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Carla Emiliani</w:t>
      </w:r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, hanno contribuito in forma sostanziale sin dalle prime fasi di sviluppo e sperimentazione della terapia, ovvero già dal 2010, con l’inizio della sperimentazione clinica. 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br/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Il gruppo perugino, infatti, ha </w:t>
      </w:r>
      <w:r w:rsidRPr="001E6C2E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sviluppato e progettato dei saggi biomolecolari miniaturizzati</w:t>
      </w:r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1E6C2E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atti a dimostrare la corretta funzione e struttura della proteina terapeutica in piccole quantità di campioni biologici</w:t>
      </w:r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, fornendo così dei parametri utili per il monitoraggio dell’efficacia della terapia, sia nelle fasi iniziali del trattamento sia quelle di sorveglianza post trattamento. 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Al fine di sviluppare queste attività di ricerca altamente innovative è stato istituito il Laboratorio Biomolecolare per le Proteine Ricombinati (LBPR), certificato ISO 9001:</w:t>
      </w:r>
      <w:proofErr w:type="gramStart"/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2015,  di</w:t>
      </w:r>
      <w:proofErr w:type="gramEnd"/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 xml:space="preserve"> cui la Prof.ssa Martino è direttore responsabile, nel quale sono messe a </w:t>
      </w:r>
      <w:r w:rsidRPr="001E6C2E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lastRenderedPageBreak/>
        <w:t>frutto le competenze acquisite nello studio biomolecolare degli enzimi lisosomiali e delle patologie genetiche rare da accumulo metabolico lisosomiale,</w:t>
      </w: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da sempre oggetto di studio da parte del gruppo coordinato dalla Prof.ssa Emiliani. 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Gli esiti della ricerca scientifica sulla </w:t>
      </w:r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Leucodistrofia Metacromatica</w:t>
      </w: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(MLD), ora pubblicati da </w:t>
      </w:r>
      <w:r w:rsidRPr="001E6C2E">
        <w:rPr>
          <w:rFonts w:ascii="Work Sans" w:eastAsia="Times New Roman" w:hAnsi="Work Sans" w:cs="Calibri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it-IT"/>
        </w:rPr>
        <w:t>The Lancet</w:t>
      </w: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, sono un'analisi integrata dei risultati dello studio clinico che ha visto protagonisti 29 pazienti pediatrici con diagnosi molecolare e biochimica di MLD ad esordio precoce, in fase </w:t>
      </w:r>
      <w:proofErr w:type="spellStart"/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pre</w:t>
      </w:r>
      <w:proofErr w:type="spellEnd"/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-sintomatica o precocemente sintomatica: l’innovativo trattamento terapeutico ha prodotto benefici prolungati e clinicamente rilevanti, preservando la funzione cognitiva e lo sviluppo motorio nella maggior parte dei piccoli pazienti e rallentando drasticamente la demielinizzazione e l'atrofia cerebrale</w:t>
      </w:r>
      <w:r w:rsidR="00CE7D3F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</w:t>
      </w:r>
      <w:bookmarkStart w:id="0" w:name="_GoBack"/>
      <w:bookmarkEnd w:id="0"/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1E6C2E">
        <w:rPr>
          <w:rFonts w:ascii="Work Sans" w:eastAsia="Times New Roman" w:hAnsi="Work Sans" w:cs="Calibri"/>
          <w:color w:val="FF0000"/>
          <w:sz w:val="22"/>
          <w:szCs w:val="22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Il successo di questa strategia terapeutica ha aperto la strada alla cura di altre patologie genetiche da accumulo metabolico lisosomiale, oltre che di altre patologie genetiche.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br/>
      </w:r>
    </w:p>
    <w:p w:rsidR="001E6C2E" w:rsidRPr="001E6C2E" w:rsidRDefault="001E6C2E" w:rsidP="001E6C2E">
      <w:pPr>
        <w:shd w:val="clear" w:color="auto" w:fill="FFFFFF"/>
        <w:spacing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</w:p>
    <w:p w:rsidR="001E6C2E" w:rsidRPr="001E6C2E" w:rsidRDefault="001E6C2E" w:rsidP="001E6C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1E6C2E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L'articolo è consultabile all'indirizzo: </w:t>
      </w:r>
    </w:p>
    <w:p w:rsidR="001E6C2E" w:rsidRPr="001E6C2E" w:rsidRDefault="001E6C2E" w:rsidP="001E6C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1E6C2E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it-IT"/>
        </w:rPr>
        <w:t>DOI: https://doi.org/10.1016/S0140-6736(21)02017-1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</w:p>
    <w:p w:rsidR="00F55BF8" w:rsidRDefault="00F55BF8" w:rsidP="00F55BF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Arial"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F55BF8" w:rsidRDefault="00F55BF8" w:rsidP="00F55BF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Arial"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F55BF8" w:rsidRPr="00F55BF8" w:rsidRDefault="00F55BF8" w:rsidP="00F55B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it-IT"/>
        </w:rPr>
      </w:pPr>
      <w:r w:rsidRPr="00F55BF8">
        <w:rPr>
          <w:rFonts w:ascii="Work Sans" w:eastAsia="Times New Roman" w:hAnsi="Work Sans" w:cs="Arial"/>
          <w:color w:val="201F1E"/>
          <w:sz w:val="22"/>
          <w:szCs w:val="22"/>
          <w:bdr w:val="none" w:sz="0" w:space="0" w:color="auto" w:frame="1"/>
          <w:lang w:eastAsia="it-IT"/>
        </w:rPr>
        <w:t>Nella foto, il gruppo della sezione di Scienze Biochimiche e Biotecnologiche. </w:t>
      </w:r>
    </w:p>
    <w:p w:rsidR="00F55BF8" w:rsidRPr="00F55BF8" w:rsidRDefault="00F55BF8" w:rsidP="00F55BF8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F55BF8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it-IT"/>
        </w:rPr>
        <w:t>In primo piano, seduti, il Dott. Francesco Morena e la Prof.ssa Sabata Martino. Al centro, la coordinatrice della sezione, Prof.ssa Carla Emiliani</w:t>
      </w:r>
    </w:p>
    <w:p w:rsidR="001E6C2E" w:rsidRPr="001E6C2E" w:rsidRDefault="001E6C2E" w:rsidP="001E6C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:rsidR="001E6C2E" w:rsidRPr="001E6C2E" w:rsidRDefault="001E6C2E" w:rsidP="001E6C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:rsidR="001E6C2E" w:rsidRPr="001E6C2E" w:rsidRDefault="001E6C2E" w:rsidP="001E6C2E">
      <w:pPr>
        <w:shd w:val="clear" w:color="auto" w:fill="FFFFFF"/>
        <w:spacing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Perugia, 31 gennaio 2022</w:t>
      </w:r>
      <w:r w:rsidRPr="001E6C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it-IT"/>
        </w:rPr>
        <w:t> </w:t>
      </w:r>
      <w:r w:rsidRPr="001E6C2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shd w:val="clear" w:color="auto" w:fill="FFFF00"/>
          <w:lang w:eastAsia="it-IT"/>
        </w:rPr>
        <w:t>Contatto per le redazioni, da NON pubblicare</w:t>
      </w: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ind w:right="1060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Prof.ssa Sabata Martino 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ind w:right="1060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sabata.martino@unipg.it  </w:t>
      </w:r>
    </w:p>
    <w:p w:rsidR="001E6C2E" w:rsidRPr="001E6C2E" w:rsidRDefault="001E6C2E" w:rsidP="001E6C2E">
      <w:pPr>
        <w:shd w:val="clear" w:color="auto" w:fill="FFFFFF"/>
        <w:spacing w:after="0" w:line="276" w:lineRule="atLeast"/>
        <w:ind w:right="1060"/>
        <w:jc w:val="both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Tel 075 585 7442 </w:t>
      </w:r>
    </w:p>
    <w:p w:rsidR="001E6C2E" w:rsidRPr="001E6C2E" w:rsidRDefault="001E6C2E" w:rsidP="001E6C2E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8A72BC" w:rsidRDefault="008A72BC" w:rsidP="004607EA">
      <w:pPr>
        <w:pStyle w:val="NormaleWeb"/>
        <w:shd w:val="clear" w:color="auto" w:fill="FFFFFF"/>
        <w:spacing w:before="0" w:beforeAutospacing="0" w:after="0" w:afterAutospacing="0" w:line="23" w:lineRule="atLeast"/>
        <w:rPr>
          <w:rFonts w:ascii="Work Sans" w:hAnsi="Work Sans" w:cs="Calibri"/>
          <w:sz w:val="22"/>
          <w:szCs w:val="22"/>
        </w:rPr>
      </w:pPr>
    </w:p>
    <w:p w:rsidR="00595EC3" w:rsidRPr="008C79A1" w:rsidRDefault="00595EC3" w:rsidP="00EE26A4">
      <w:pPr>
        <w:shd w:val="clear" w:color="auto" w:fill="FFFFFF"/>
        <w:spacing w:after="450" w:line="240" w:lineRule="auto"/>
        <w:rPr>
          <w:rFonts w:ascii="Work Sans" w:eastAsia="Times New Roman" w:hAnsi="Work Sans" w:cs="Times New Roman"/>
          <w:color w:val="181817"/>
          <w:sz w:val="22"/>
          <w:szCs w:val="22"/>
          <w:lang w:eastAsia="it-IT"/>
        </w:rPr>
      </w:pPr>
    </w:p>
    <w:p w:rsidR="000454B6" w:rsidRPr="00EE26A4" w:rsidRDefault="000454B6" w:rsidP="00A965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</w:p>
    <w:sectPr w:rsidR="000454B6" w:rsidRPr="00EE26A4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82C" w:rsidRDefault="00EB682C" w:rsidP="005C2BD2">
      <w:r>
        <w:separator/>
      </w:r>
    </w:p>
  </w:endnote>
  <w:endnote w:type="continuationSeparator" w:id="0">
    <w:p w:rsidR="00EB682C" w:rsidRDefault="00EB682C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82C" w:rsidRDefault="00EB682C" w:rsidP="005C2BD2">
      <w:r>
        <w:separator/>
      </w:r>
    </w:p>
  </w:footnote>
  <w:footnote w:type="continuationSeparator" w:id="0">
    <w:p w:rsidR="00EB682C" w:rsidRDefault="00EB682C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EB682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EB682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EB682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F24"/>
    <w:rsid w:val="000C1B92"/>
    <w:rsid w:val="000C2865"/>
    <w:rsid w:val="000C7EF5"/>
    <w:rsid w:val="000D15B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52DC1"/>
    <w:rsid w:val="00155B5A"/>
    <w:rsid w:val="00161EE2"/>
    <w:rsid w:val="001654DC"/>
    <w:rsid w:val="0017356C"/>
    <w:rsid w:val="001738C8"/>
    <w:rsid w:val="00181537"/>
    <w:rsid w:val="0018200B"/>
    <w:rsid w:val="00182173"/>
    <w:rsid w:val="00193934"/>
    <w:rsid w:val="001953A9"/>
    <w:rsid w:val="00196933"/>
    <w:rsid w:val="00196CFF"/>
    <w:rsid w:val="00196E4C"/>
    <w:rsid w:val="001A3A6A"/>
    <w:rsid w:val="001A4672"/>
    <w:rsid w:val="001A66EF"/>
    <w:rsid w:val="001B20D3"/>
    <w:rsid w:val="001B41FE"/>
    <w:rsid w:val="001B4EA6"/>
    <w:rsid w:val="001C54ED"/>
    <w:rsid w:val="001C6B13"/>
    <w:rsid w:val="001D1747"/>
    <w:rsid w:val="001D30A5"/>
    <w:rsid w:val="001D3946"/>
    <w:rsid w:val="001D4E78"/>
    <w:rsid w:val="001D7153"/>
    <w:rsid w:val="001E49D5"/>
    <w:rsid w:val="001E6C2E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167C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4B44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3465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57108"/>
    <w:rsid w:val="00360DED"/>
    <w:rsid w:val="0036344E"/>
    <w:rsid w:val="0036746A"/>
    <w:rsid w:val="00371EAF"/>
    <w:rsid w:val="00383533"/>
    <w:rsid w:val="00385AA3"/>
    <w:rsid w:val="003865F0"/>
    <w:rsid w:val="00390F8B"/>
    <w:rsid w:val="003973DB"/>
    <w:rsid w:val="003A5811"/>
    <w:rsid w:val="003A6BA6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F21A9"/>
    <w:rsid w:val="00400C16"/>
    <w:rsid w:val="00401736"/>
    <w:rsid w:val="00407E61"/>
    <w:rsid w:val="00410CCE"/>
    <w:rsid w:val="00415035"/>
    <w:rsid w:val="004258EE"/>
    <w:rsid w:val="00426F29"/>
    <w:rsid w:val="00432939"/>
    <w:rsid w:val="004368D1"/>
    <w:rsid w:val="00436DD6"/>
    <w:rsid w:val="004378A4"/>
    <w:rsid w:val="00452D42"/>
    <w:rsid w:val="004552EA"/>
    <w:rsid w:val="004607EA"/>
    <w:rsid w:val="004611DE"/>
    <w:rsid w:val="0047605D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4D00"/>
    <w:rsid w:val="005017E3"/>
    <w:rsid w:val="00505080"/>
    <w:rsid w:val="00505543"/>
    <w:rsid w:val="00506A84"/>
    <w:rsid w:val="005128C4"/>
    <w:rsid w:val="00517C96"/>
    <w:rsid w:val="00517D51"/>
    <w:rsid w:val="005208BF"/>
    <w:rsid w:val="00523068"/>
    <w:rsid w:val="00523F28"/>
    <w:rsid w:val="0052728C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8735B"/>
    <w:rsid w:val="00595EC3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5EBD"/>
    <w:rsid w:val="005E251D"/>
    <w:rsid w:val="005E2C4E"/>
    <w:rsid w:val="00610405"/>
    <w:rsid w:val="00612909"/>
    <w:rsid w:val="0061418C"/>
    <w:rsid w:val="00614A38"/>
    <w:rsid w:val="00617570"/>
    <w:rsid w:val="0063055A"/>
    <w:rsid w:val="0063673C"/>
    <w:rsid w:val="00647FCF"/>
    <w:rsid w:val="00675329"/>
    <w:rsid w:val="006816EF"/>
    <w:rsid w:val="00686C19"/>
    <w:rsid w:val="00686DF1"/>
    <w:rsid w:val="00691628"/>
    <w:rsid w:val="006961B8"/>
    <w:rsid w:val="006B3567"/>
    <w:rsid w:val="006C1D02"/>
    <w:rsid w:val="006C2FC8"/>
    <w:rsid w:val="006E5493"/>
    <w:rsid w:val="006E702E"/>
    <w:rsid w:val="006F1232"/>
    <w:rsid w:val="006F5AC9"/>
    <w:rsid w:val="00701A93"/>
    <w:rsid w:val="00714A7F"/>
    <w:rsid w:val="0074090E"/>
    <w:rsid w:val="007445F5"/>
    <w:rsid w:val="00751560"/>
    <w:rsid w:val="00753E70"/>
    <w:rsid w:val="007604C3"/>
    <w:rsid w:val="00761152"/>
    <w:rsid w:val="0076782D"/>
    <w:rsid w:val="00771C4A"/>
    <w:rsid w:val="00775A96"/>
    <w:rsid w:val="007A6E13"/>
    <w:rsid w:val="007B6981"/>
    <w:rsid w:val="007C4F03"/>
    <w:rsid w:val="007E1B9A"/>
    <w:rsid w:val="007E22EA"/>
    <w:rsid w:val="007F040D"/>
    <w:rsid w:val="007F4861"/>
    <w:rsid w:val="0080048D"/>
    <w:rsid w:val="00801CEF"/>
    <w:rsid w:val="00802B52"/>
    <w:rsid w:val="008063B6"/>
    <w:rsid w:val="00810E86"/>
    <w:rsid w:val="008135A8"/>
    <w:rsid w:val="00816E8F"/>
    <w:rsid w:val="0082135A"/>
    <w:rsid w:val="00831101"/>
    <w:rsid w:val="00832FCE"/>
    <w:rsid w:val="00841FEB"/>
    <w:rsid w:val="008424C4"/>
    <w:rsid w:val="008451E7"/>
    <w:rsid w:val="00866F2F"/>
    <w:rsid w:val="00867402"/>
    <w:rsid w:val="008765FA"/>
    <w:rsid w:val="00881C98"/>
    <w:rsid w:val="00893154"/>
    <w:rsid w:val="00894C65"/>
    <w:rsid w:val="008A67B9"/>
    <w:rsid w:val="008A72BC"/>
    <w:rsid w:val="008B09C1"/>
    <w:rsid w:val="008B0A03"/>
    <w:rsid w:val="008B49C1"/>
    <w:rsid w:val="008B4FF6"/>
    <w:rsid w:val="008B5260"/>
    <w:rsid w:val="008C04C1"/>
    <w:rsid w:val="008C2B8E"/>
    <w:rsid w:val="008C5F63"/>
    <w:rsid w:val="008C6034"/>
    <w:rsid w:val="008C79A1"/>
    <w:rsid w:val="008D1A38"/>
    <w:rsid w:val="008D3BE7"/>
    <w:rsid w:val="008E432D"/>
    <w:rsid w:val="008F1952"/>
    <w:rsid w:val="008F1E74"/>
    <w:rsid w:val="008F2738"/>
    <w:rsid w:val="008F52FD"/>
    <w:rsid w:val="008F53C6"/>
    <w:rsid w:val="00902464"/>
    <w:rsid w:val="00903141"/>
    <w:rsid w:val="009042E5"/>
    <w:rsid w:val="00905B7F"/>
    <w:rsid w:val="00916EC7"/>
    <w:rsid w:val="009228C6"/>
    <w:rsid w:val="009253F9"/>
    <w:rsid w:val="00925551"/>
    <w:rsid w:val="00935482"/>
    <w:rsid w:val="0094415C"/>
    <w:rsid w:val="00945562"/>
    <w:rsid w:val="00946BC4"/>
    <w:rsid w:val="0095273A"/>
    <w:rsid w:val="00953850"/>
    <w:rsid w:val="00955656"/>
    <w:rsid w:val="00961C0D"/>
    <w:rsid w:val="00967E5D"/>
    <w:rsid w:val="00975E2F"/>
    <w:rsid w:val="009770DC"/>
    <w:rsid w:val="0098577C"/>
    <w:rsid w:val="009906D5"/>
    <w:rsid w:val="009906DD"/>
    <w:rsid w:val="00991BA9"/>
    <w:rsid w:val="00994AE2"/>
    <w:rsid w:val="009A50C4"/>
    <w:rsid w:val="009A5627"/>
    <w:rsid w:val="009A74DA"/>
    <w:rsid w:val="009B1DCC"/>
    <w:rsid w:val="009B440B"/>
    <w:rsid w:val="009B691D"/>
    <w:rsid w:val="009C35E1"/>
    <w:rsid w:val="009C6576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248E"/>
    <w:rsid w:val="00A663EC"/>
    <w:rsid w:val="00A70173"/>
    <w:rsid w:val="00A72F99"/>
    <w:rsid w:val="00A74A27"/>
    <w:rsid w:val="00A8132C"/>
    <w:rsid w:val="00A902E7"/>
    <w:rsid w:val="00A917DC"/>
    <w:rsid w:val="00A91CF1"/>
    <w:rsid w:val="00A92036"/>
    <w:rsid w:val="00A96516"/>
    <w:rsid w:val="00AA45BE"/>
    <w:rsid w:val="00AB1F42"/>
    <w:rsid w:val="00AB3C3B"/>
    <w:rsid w:val="00AB4337"/>
    <w:rsid w:val="00AB6466"/>
    <w:rsid w:val="00AC2203"/>
    <w:rsid w:val="00AC37A1"/>
    <w:rsid w:val="00AC4A9A"/>
    <w:rsid w:val="00AC593E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25F4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37D2"/>
    <w:rsid w:val="00B74564"/>
    <w:rsid w:val="00B75810"/>
    <w:rsid w:val="00B8307E"/>
    <w:rsid w:val="00B83915"/>
    <w:rsid w:val="00B84CD4"/>
    <w:rsid w:val="00B8728F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07935"/>
    <w:rsid w:val="00C223CE"/>
    <w:rsid w:val="00C23814"/>
    <w:rsid w:val="00C23D1C"/>
    <w:rsid w:val="00C30C0F"/>
    <w:rsid w:val="00C37FB6"/>
    <w:rsid w:val="00C51D33"/>
    <w:rsid w:val="00C533D0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B78FF"/>
    <w:rsid w:val="00CC4DF2"/>
    <w:rsid w:val="00CD05E1"/>
    <w:rsid w:val="00CD2401"/>
    <w:rsid w:val="00CD59E2"/>
    <w:rsid w:val="00CE088D"/>
    <w:rsid w:val="00CE253C"/>
    <w:rsid w:val="00CE7D3F"/>
    <w:rsid w:val="00CF03B5"/>
    <w:rsid w:val="00CF6EE7"/>
    <w:rsid w:val="00CF7026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57D38"/>
    <w:rsid w:val="00D7043A"/>
    <w:rsid w:val="00D71F5A"/>
    <w:rsid w:val="00D7704C"/>
    <w:rsid w:val="00D806BC"/>
    <w:rsid w:val="00D81550"/>
    <w:rsid w:val="00D81602"/>
    <w:rsid w:val="00D85B7D"/>
    <w:rsid w:val="00D861B0"/>
    <w:rsid w:val="00DA0151"/>
    <w:rsid w:val="00DA03D1"/>
    <w:rsid w:val="00DA3945"/>
    <w:rsid w:val="00DB4506"/>
    <w:rsid w:val="00DC009B"/>
    <w:rsid w:val="00DC1CB7"/>
    <w:rsid w:val="00DC1FF9"/>
    <w:rsid w:val="00DD0737"/>
    <w:rsid w:val="00DD1931"/>
    <w:rsid w:val="00DD4170"/>
    <w:rsid w:val="00DE34C9"/>
    <w:rsid w:val="00DF06E4"/>
    <w:rsid w:val="00DF65AB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0D1F"/>
    <w:rsid w:val="00E4382C"/>
    <w:rsid w:val="00E476BC"/>
    <w:rsid w:val="00E4781E"/>
    <w:rsid w:val="00E479F1"/>
    <w:rsid w:val="00E518DA"/>
    <w:rsid w:val="00E57FE1"/>
    <w:rsid w:val="00E6083B"/>
    <w:rsid w:val="00E71C12"/>
    <w:rsid w:val="00E91805"/>
    <w:rsid w:val="00E95410"/>
    <w:rsid w:val="00EA06FD"/>
    <w:rsid w:val="00EA0980"/>
    <w:rsid w:val="00EA1D17"/>
    <w:rsid w:val="00EA1E3A"/>
    <w:rsid w:val="00EA2735"/>
    <w:rsid w:val="00EA43F8"/>
    <w:rsid w:val="00EB4770"/>
    <w:rsid w:val="00EB682C"/>
    <w:rsid w:val="00EC4CC7"/>
    <w:rsid w:val="00ED0ACA"/>
    <w:rsid w:val="00EE26A4"/>
    <w:rsid w:val="00EE2ACA"/>
    <w:rsid w:val="00EE6B64"/>
    <w:rsid w:val="00EF1EC4"/>
    <w:rsid w:val="00EF7EAC"/>
    <w:rsid w:val="00F07D79"/>
    <w:rsid w:val="00F10B19"/>
    <w:rsid w:val="00F11E08"/>
    <w:rsid w:val="00F14023"/>
    <w:rsid w:val="00F14770"/>
    <w:rsid w:val="00F14CB0"/>
    <w:rsid w:val="00F17DC8"/>
    <w:rsid w:val="00F24518"/>
    <w:rsid w:val="00F27588"/>
    <w:rsid w:val="00F27F71"/>
    <w:rsid w:val="00F32340"/>
    <w:rsid w:val="00F32523"/>
    <w:rsid w:val="00F4025C"/>
    <w:rsid w:val="00F43C7D"/>
    <w:rsid w:val="00F4645C"/>
    <w:rsid w:val="00F525EB"/>
    <w:rsid w:val="00F55240"/>
    <w:rsid w:val="00F55BF8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C6D63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D59E565"/>
  <w15:docId w15:val="{2132B24C-0B93-4156-8B8B-C6AC3CEF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8A7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77220-230A-4E6C-A6AD-D2D92D5B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2019-12-03T12:38:00Z</cp:lastPrinted>
  <dcterms:created xsi:type="dcterms:W3CDTF">2022-02-03T06:49:00Z</dcterms:created>
  <dcterms:modified xsi:type="dcterms:W3CDTF">2022-02-03T09:13:00Z</dcterms:modified>
</cp:coreProperties>
</file>