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822" w:rsidRPr="00B86C36" w:rsidRDefault="00415822" w:rsidP="00415822">
      <w:pPr>
        <w:pStyle w:val="NormaleWeb"/>
        <w:shd w:val="clear" w:color="auto" w:fill="FFFFFF"/>
        <w:spacing w:before="0" w:beforeAutospacing="0" w:after="0" w:afterAutospacing="0" w:line="276" w:lineRule="atLeast"/>
        <w:jc w:val="center"/>
        <w:rPr>
          <w:color w:val="201F1E"/>
          <w:sz w:val="36"/>
          <w:szCs w:val="36"/>
        </w:rPr>
      </w:pPr>
      <w:r w:rsidRPr="00B86C36">
        <w:rPr>
          <w:rFonts w:ascii="Work Sans" w:hAnsi="Work Sans"/>
          <w:b/>
          <w:bCs/>
          <w:color w:val="000000"/>
          <w:sz w:val="36"/>
          <w:szCs w:val="36"/>
          <w:bdr w:val="none" w:sz="0" w:space="0" w:color="auto" w:frame="1"/>
        </w:rPr>
        <w:t>UNIVERSITÀ DEGLI STUDI DI PERUGIA  </w:t>
      </w:r>
      <w:r w:rsidRPr="00B86C36">
        <w:rPr>
          <w:rFonts w:ascii="Work Sans" w:hAnsi="Work Sans"/>
          <w:color w:val="201F1E"/>
          <w:sz w:val="36"/>
          <w:szCs w:val="36"/>
          <w:bdr w:val="none" w:sz="0" w:space="0" w:color="auto" w:frame="1"/>
        </w:rPr>
        <w:t> </w:t>
      </w:r>
      <w:r w:rsidRPr="00B86C36">
        <w:rPr>
          <w:rFonts w:ascii="Work Sans" w:hAnsi="Work Sans"/>
          <w:color w:val="000000"/>
          <w:sz w:val="36"/>
          <w:szCs w:val="36"/>
          <w:bdr w:val="none" w:sz="0" w:space="0" w:color="auto" w:frame="1"/>
        </w:rPr>
        <w:t> </w:t>
      </w:r>
      <w:r w:rsidRPr="00B86C36">
        <w:rPr>
          <w:rFonts w:ascii="Work Sans" w:hAnsi="Work Sans"/>
          <w:color w:val="201F1E"/>
          <w:sz w:val="36"/>
          <w:szCs w:val="36"/>
          <w:bdr w:val="none" w:sz="0" w:space="0" w:color="auto" w:frame="1"/>
        </w:rPr>
        <w:t> </w:t>
      </w:r>
    </w:p>
    <w:p w:rsidR="00415822" w:rsidRDefault="00415822" w:rsidP="00415822">
      <w:pPr>
        <w:pStyle w:val="NormaleWeb"/>
        <w:shd w:val="clear" w:color="auto" w:fill="FFFFFF"/>
        <w:spacing w:before="0" w:beforeAutospacing="0" w:after="0" w:afterAutospacing="0" w:line="240" w:lineRule="atLeast"/>
        <w:ind w:left="850" w:right="342"/>
        <w:jc w:val="center"/>
        <w:rPr>
          <w:color w:val="201F1E"/>
        </w:rPr>
      </w:pPr>
      <w:r>
        <w:rPr>
          <w:rFonts w:ascii="Work Sans" w:hAnsi="Work Sans"/>
          <w:b/>
          <w:bCs/>
          <w:color w:val="000000"/>
          <w:sz w:val="22"/>
          <w:szCs w:val="22"/>
          <w:bdr w:val="none" w:sz="0" w:space="0" w:color="auto" w:frame="1"/>
        </w:rPr>
        <w:t> </w:t>
      </w:r>
      <w:r>
        <w:rPr>
          <w:rFonts w:ascii="Work Sans" w:hAnsi="Work Sans"/>
          <w:color w:val="201F1E"/>
          <w:sz w:val="22"/>
          <w:szCs w:val="22"/>
          <w:bdr w:val="none" w:sz="0" w:space="0" w:color="auto" w:frame="1"/>
        </w:rPr>
        <w:t> </w:t>
      </w:r>
    </w:p>
    <w:p w:rsidR="004D2644" w:rsidRDefault="004D2644" w:rsidP="00B62D8C">
      <w:pPr>
        <w:pStyle w:val="NormaleWeb"/>
        <w:shd w:val="clear" w:color="auto" w:fill="FFFFFF"/>
        <w:spacing w:before="0" w:beforeAutospacing="0" w:after="0" w:afterAutospacing="0" w:line="276" w:lineRule="atLeast"/>
        <w:jc w:val="center"/>
        <w:rPr>
          <w:rFonts w:ascii="Work Sans" w:hAnsi="Work Sans"/>
          <w:b/>
          <w:bCs/>
          <w:color w:val="201F1E"/>
          <w:sz w:val="22"/>
          <w:szCs w:val="22"/>
          <w:bdr w:val="none" w:sz="0" w:space="0" w:color="auto" w:frame="1"/>
        </w:rPr>
      </w:pPr>
    </w:p>
    <w:p w:rsidR="00B62D8C" w:rsidRDefault="00B62D8C" w:rsidP="00B62D8C">
      <w:pPr>
        <w:pStyle w:val="NormaleWeb"/>
        <w:shd w:val="clear" w:color="auto" w:fill="FFFFFF"/>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t>Tre nuovi corsi di alta specializzazione frutto della collaborazione  </w:t>
      </w:r>
    </w:p>
    <w:p w:rsidR="00B62D8C" w:rsidRDefault="00B62D8C" w:rsidP="00B62D8C">
      <w:pPr>
        <w:pStyle w:val="xxxxxmsonormal"/>
        <w:shd w:val="clear" w:color="auto" w:fill="FFFFFF"/>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t>fra Università degli Studi di Perugia e Confindustria Umbria </w:t>
      </w:r>
    </w:p>
    <w:p w:rsidR="00B62D8C" w:rsidRDefault="00B62D8C" w:rsidP="00B62D8C">
      <w:pPr>
        <w:pStyle w:val="xxxxxmsonormal"/>
        <w:shd w:val="clear" w:color="auto" w:fill="FFFFFF"/>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t>Il Rettore Oliviero: “</w:t>
      </w:r>
      <w:r>
        <w:rPr>
          <w:rFonts w:ascii="Work Sans" w:hAnsi="Work Sans"/>
          <w:b/>
          <w:bCs/>
          <w:color w:val="000000"/>
          <w:sz w:val="22"/>
          <w:szCs w:val="22"/>
          <w:bdr w:val="none" w:sz="0" w:space="0" w:color="auto" w:frame="1"/>
        </w:rPr>
        <w:t>Una nuova stagione nei rapporti tra alta formazione, territorio e mondo del lavoro”</w:t>
      </w:r>
      <w:r>
        <w:rPr>
          <w:rFonts w:ascii="Work Sans" w:hAnsi="Work Sans"/>
          <w:b/>
          <w:bCs/>
          <w:color w:val="201F1E"/>
          <w:sz w:val="22"/>
          <w:szCs w:val="22"/>
          <w:bdr w:val="none" w:sz="0" w:space="0" w:color="auto" w:frame="1"/>
        </w:rPr>
        <w:t> </w:t>
      </w:r>
      <w:r>
        <w:rPr>
          <w:rFonts w:ascii="Work Sans" w:hAnsi="Work Sans"/>
          <w:b/>
          <w:bCs/>
          <w:color w:val="201F1E"/>
          <w:sz w:val="22"/>
          <w:szCs w:val="22"/>
          <w:bdr w:val="none" w:sz="0" w:space="0" w:color="auto" w:frame="1"/>
        </w:rPr>
        <w:br/>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Sostenibilità, gestione del rischio e gestione dei finanziamenti pubblici: questi i temi al centro dei nuovi corsi di alta specializzazione messi a punto dall’Università degli Studi di Perugia e da Sistemi Formativi Confindustria Umbria, a valere sul bando SKILLS della Regione Umbria. I tre percorsi formativi sono stati presentati stamani dal Magnifico Rettore dell'Università degli Studi di Perugia, </w:t>
      </w:r>
      <w:r>
        <w:rPr>
          <w:rFonts w:ascii="Work Sans" w:hAnsi="Work Sans"/>
          <w:b/>
          <w:bCs/>
          <w:color w:val="201F1E"/>
          <w:sz w:val="22"/>
          <w:szCs w:val="22"/>
          <w:bdr w:val="none" w:sz="0" w:space="0" w:color="auto" w:frame="1"/>
        </w:rPr>
        <w:t>Maurizio Oliviero</w:t>
      </w:r>
      <w:r>
        <w:rPr>
          <w:rFonts w:ascii="Work Sans" w:hAnsi="Work Sans"/>
          <w:color w:val="201F1E"/>
          <w:sz w:val="22"/>
          <w:szCs w:val="22"/>
          <w:bdr w:val="none" w:sz="0" w:space="0" w:color="auto" w:frame="1"/>
        </w:rPr>
        <w:t>, dal Presidente di Sistemi Formativi Confindustria Umbria,</w:t>
      </w:r>
      <w:r>
        <w:rPr>
          <w:rFonts w:ascii="Work Sans" w:hAnsi="Work Sans"/>
          <w:b/>
          <w:bCs/>
          <w:color w:val="201F1E"/>
          <w:sz w:val="22"/>
          <w:szCs w:val="22"/>
          <w:bdr w:val="none" w:sz="0" w:space="0" w:color="auto" w:frame="1"/>
        </w:rPr>
        <w:t> Riccardo Stefanelli</w:t>
      </w:r>
      <w:r>
        <w:rPr>
          <w:rFonts w:ascii="Work Sans" w:hAnsi="Work Sans"/>
          <w:color w:val="201F1E"/>
          <w:sz w:val="22"/>
          <w:szCs w:val="22"/>
          <w:bdr w:val="none" w:sz="0" w:space="0" w:color="auto" w:frame="1"/>
        </w:rPr>
        <w:t> e dal Direttore </w:t>
      </w:r>
      <w:r>
        <w:rPr>
          <w:rFonts w:ascii="Work Sans" w:hAnsi="Work Sans"/>
          <w:i/>
          <w:iCs/>
          <w:color w:val="201F1E"/>
          <w:sz w:val="22"/>
          <w:szCs w:val="22"/>
          <w:bdr w:val="none" w:sz="0" w:space="0" w:color="auto" w:frame="1"/>
        </w:rPr>
        <w:t xml:space="preserve">Risk, </w:t>
      </w:r>
      <w:proofErr w:type="spellStart"/>
      <w:r>
        <w:rPr>
          <w:rFonts w:ascii="Work Sans" w:hAnsi="Work Sans"/>
          <w:i/>
          <w:iCs/>
          <w:color w:val="201F1E"/>
          <w:sz w:val="22"/>
          <w:szCs w:val="22"/>
          <w:bdr w:val="none" w:sz="0" w:space="0" w:color="auto" w:frame="1"/>
        </w:rPr>
        <w:t>Compliance</w:t>
      </w:r>
      <w:proofErr w:type="spellEnd"/>
      <w:r>
        <w:rPr>
          <w:rFonts w:ascii="Work Sans" w:hAnsi="Work Sans"/>
          <w:i/>
          <w:iCs/>
          <w:color w:val="201F1E"/>
          <w:sz w:val="22"/>
          <w:szCs w:val="22"/>
          <w:bdr w:val="none" w:sz="0" w:space="0" w:color="auto" w:frame="1"/>
        </w:rPr>
        <w:t xml:space="preserve"> and </w:t>
      </w:r>
      <w:proofErr w:type="spellStart"/>
      <w:r>
        <w:rPr>
          <w:rFonts w:ascii="Work Sans" w:hAnsi="Work Sans"/>
          <w:i/>
          <w:iCs/>
          <w:color w:val="201F1E"/>
          <w:sz w:val="22"/>
          <w:szCs w:val="22"/>
          <w:bdr w:val="none" w:sz="0" w:space="0" w:color="auto" w:frame="1"/>
        </w:rPr>
        <w:t>Quality</w:t>
      </w:r>
      <w:proofErr w:type="spellEnd"/>
      <w:r>
        <w:rPr>
          <w:rFonts w:ascii="Work Sans" w:hAnsi="Work Sans"/>
          <w:color w:val="201F1E"/>
          <w:sz w:val="22"/>
          <w:szCs w:val="22"/>
          <w:bdr w:val="none" w:sz="0" w:space="0" w:color="auto" w:frame="1"/>
        </w:rPr>
        <w:t> di Autostrade per l’Italia S.p.a. (ASPI), </w:t>
      </w:r>
      <w:r>
        <w:rPr>
          <w:rFonts w:ascii="Work Sans" w:hAnsi="Work Sans"/>
          <w:b/>
          <w:bCs/>
          <w:color w:val="201F1E"/>
          <w:sz w:val="22"/>
          <w:szCs w:val="22"/>
          <w:bdr w:val="none" w:sz="0" w:space="0" w:color="auto" w:frame="1"/>
        </w:rPr>
        <w:t>Nicola Allocca</w:t>
      </w: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Presenti alla conferenza stampa il Pro Rettore Vicario </w:t>
      </w:r>
      <w:r>
        <w:rPr>
          <w:rFonts w:ascii="Work Sans" w:hAnsi="Work Sans"/>
          <w:b/>
          <w:bCs/>
          <w:color w:val="201F1E"/>
          <w:sz w:val="22"/>
          <w:szCs w:val="22"/>
          <w:bdr w:val="none" w:sz="0" w:space="0" w:color="auto" w:frame="1"/>
        </w:rPr>
        <w:t xml:space="preserve">Fausto </w:t>
      </w:r>
      <w:proofErr w:type="spellStart"/>
      <w:r>
        <w:rPr>
          <w:rFonts w:ascii="Work Sans" w:hAnsi="Work Sans"/>
          <w:b/>
          <w:bCs/>
          <w:color w:val="201F1E"/>
          <w:sz w:val="22"/>
          <w:szCs w:val="22"/>
          <w:bdr w:val="none" w:sz="0" w:space="0" w:color="auto" w:frame="1"/>
        </w:rPr>
        <w:t>Elisei</w:t>
      </w:r>
      <w:proofErr w:type="spellEnd"/>
      <w:r>
        <w:rPr>
          <w:rFonts w:ascii="Work Sans" w:hAnsi="Work Sans"/>
          <w:color w:val="201F1E"/>
          <w:sz w:val="22"/>
          <w:szCs w:val="22"/>
          <w:bdr w:val="none" w:sz="0" w:space="0" w:color="auto" w:frame="1"/>
        </w:rPr>
        <w:t> e </w:t>
      </w:r>
      <w:r>
        <w:rPr>
          <w:rFonts w:ascii="Work Sans" w:hAnsi="Work Sans"/>
          <w:b/>
          <w:bCs/>
          <w:color w:val="201F1E"/>
          <w:sz w:val="22"/>
          <w:szCs w:val="22"/>
          <w:bdr w:val="none" w:sz="0" w:space="0" w:color="auto" w:frame="1"/>
        </w:rPr>
        <w:t>Stefania Stefanelli</w:t>
      </w:r>
      <w:r>
        <w:rPr>
          <w:rFonts w:ascii="Work Sans" w:hAnsi="Work Sans"/>
          <w:color w:val="201F1E"/>
          <w:sz w:val="22"/>
          <w:szCs w:val="22"/>
          <w:bdr w:val="none" w:sz="0" w:space="0" w:color="auto" w:frame="1"/>
        </w:rPr>
        <w:t>, delegata rettorale per il settore internazionalizzazione e cooperazione internazionale.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Si tratta di corsi di alta specializzazione dedicati rispettivamente alla formazione di:</w:t>
      </w:r>
      <w:r>
        <w:rPr>
          <w:rFonts w:ascii="Work Sans" w:hAnsi="Work Sans"/>
          <w:b/>
          <w:bCs/>
          <w:color w:val="201F1E"/>
          <w:sz w:val="22"/>
          <w:szCs w:val="22"/>
          <w:bdr w:val="none" w:sz="0" w:space="0" w:color="auto" w:frame="1"/>
        </w:rPr>
        <w:t xml:space="preserve"> Industrial sustainability </w:t>
      </w:r>
      <w:proofErr w:type="spellStart"/>
      <w:r>
        <w:rPr>
          <w:rFonts w:ascii="Work Sans" w:hAnsi="Work Sans"/>
          <w:b/>
          <w:bCs/>
          <w:color w:val="201F1E"/>
          <w:sz w:val="22"/>
          <w:szCs w:val="22"/>
          <w:bdr w:val="none" w:sz="0" w:space="0" w:color="auto" w:frame="1"/>
        </w:rPr>
        <w:t>specialist</w:t>
      </w:r>
      <w:proofErr w:type="spellEnd"/>
      <w:r>
        <w:rPr>
          <w:rFonts w:ascii="Work Sans" w:hAnsi="Work Sans"/>
          <w:b/>
          <w:bCs/>
          <w:color w:val="201F1E"/>
          <w:sz w:val="22"/>
          <w:szCs w:val="22"/>
          <w:bdr w:val="none" w:sz="0" w:space="0" w:color="auto" w:frame="1"/>
        </w:rPr>
        <w:t xml:space="preserve">, Risk and business </w:t>
      </w:r>
      <w:proofErr w:type="spellStart"/>
      <w:r>
        <w:rPr>
          <w:rFonts w:ascii="Work Sans" w:hAnsi="Work Sans"/>
          <w:b/>
          <w:bCs/>
          <w:color w:val="201F1E"/>
          <w:sz w:val="22"/>
          <w:szCs w:val="22"/>
          <w:bdr w:val="none" w:sz="0" w:space="0" w:color="auto" w:frame="1"/>
        </w:rPr>
        <w:t>continuity</w:t>
      </w:r>
      <w:proofErr w:type="spellEnd"/>
      <w:r>
        <w:rPr>
          <w:rFonts w:ascii="Work Sans" w:hAnsi="Work Sans"/>
          <w:b/>
          <w:bCs/>
          <w:color w:val="201F1E"/>
          <w:sz w:val="22"/>
          <w:szCs w:val="22"/>
          <w:bdr w:val="none" w:sz="0" w:space="0" w:color="auto" w:frame="1"/>
        </w:rPr>
        <w:t xml:space="preserve"> manager </w:t>
      </w:r>
      <w:r>
        <w:rPr>
          <w:rFonts w:ascii="Work Sans" w:hAnsi="Work Sans"/>
          <w:color w:val="201F1E"/>
          <w:sz w:val="22"/>
          <w:szCs w:val="22"/>
          <w:bdr w:val="none" w:sz="0" w:space="0" w:color="auto" w:frame="1"/>
        </w:rPr>
        <w:t>e </w:t>
      </w:r>
      <w:r>
        <w:rPr>
          <w:rFonts w:ascii="Work Sans" w:hAnsi="Work Sans"/>
          <w:b/>
          <w:bCs/>
          <w:color w:val="201F1E"/>
          <w:sz w:val="22"/>
          <w:szCs w:val="22"/>
          <w:bdr w:val="none" w:sz="0" w:space="0" w:color="auto" w:frame="1"/>
        </w:rPr>
        <w:t>Industrial fundraiser</w:t>
      </w:r>
      <w:r>
        <w:rPr>
          <w:rFonts w:ascii="Work Sans" w:hAnsi="Work Sans"/>
          <w:color w:val="201F1E"/>
          <w:sz w:val="22"/>
          <w:szCs w:val="22"/>
          <w:bdr w:val="none" w:sz="0" w:space="0" w:color="auto" w:frame="1"/>
        </w:rPr>
        <w:t>, che hanno l’obiettivo di formare nuovi profili professionali adeguati alle trasformazioni della manifattura in chiave Industria 4.0 e rispondenti ai bisogni del mutato scenario competitivo mondiale. I percorsi formativi sono frutto della collaborazione tra l’Università degli Studi di Perugia e l’Agenzia formativa di Confindustria Umbria.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000000"/>
          <w:sz w:val="22"/>
          <w:szCs w:val="22"/>
          <w:bdr w:val="none" w:sz="0" w:space="0" w:color="auto" w:frame="1"/>
        </w:rPr>
        <w:t>“L’Università degli Studi di Perugia si è fortemente impegnata, in questi ultimi anni, per inaugurare una nuova stagione nei rapporti tra alta formazione, territorio e mondo del lavoro – ha dichiarato il Magnifico Rettore </w:t>
      </w:r>
      <w:r>
        <w:rPr>
          <w:rFonts w:ascii="Work Sans" w:hAnsi="Work Sans"/>
          <w:b/>
          <w:bCs/>
          <w:color w:val="000000"/>
          <w:sz w:val="22"/>
          <w:szCs w:val="22"/>
          <w:bdr w:val="none" w:sz="0" w:space="0" w:color="auto" w:frame="1"/>
        </w:rPr>
        <w:t>Maurizio Oliviero</w:t>
      </w:r>
      <w:r>
        <w:rPr>
          <w:rFonts w:ascii="Work Sans" w:hAnsi="Work Sans"/>
          <w:color w:val="000000"/>
          <w:sz w:val="22"/>
          <w:szCs w:val="22"/>
          <w:bdr w:val="none" w:sz="0" w:space="0" w:color="auto" w:frame="1"/>
        </w:rPr>
        <w:t> – grazie alla creazione di percorsi formativi di alta specializzazione pensati per valorizzare il comune patrimonio di vantaggi competitivi, garanzia di sostenibilità e qualità e incrementare significativamente le possibilità di impiego delle nostre studentesse e dei nostri studenti. Il paradigma delle competenze dell’Ateneo si sta trasformando sempre più in un modello in costante evoluzione, capace di intercettare le esigenze rappresentate da aziende e operatori economici locali, nazionali e internazionali, ai quali possiamo e vogliamo offrire candidati di altissimo profilo e che possiedano non solo una formazione di eccellenza, ma anche strumenti efficaci grazie ai quali proseguire nel loro cammino umano e professionale. Ringrazio quindi Confindustria Umbria e i suoi sistemi formativi per la stretta collaborazione, che ha consentito al nostro progetto di essere selezionato dal bando SKILLS della Regione Umbria, nonché tutti gli operatori economici coinvolti per il loro entusiasmo nell’aderire all’iniziativa”.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000000"/>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b/>
          <w:bCs/>
          <w:color w:val="201F1E"/>
          <w:sz w:val="22"/>
          <w:szCs w:val="22"/>
          <w:bdr w:val="none" w:sz="0" w:space="0" w:color="auto" w:frame="1"/>
        </w:rPr>
        <w:lastRenderedPageBreak/>
        <w:t>Riccardo Stefanelli</w:t>
      </w:r>
      <w:r>
        <w:rPr>
          <w:rFonts w:ascii="Work Sans" w:hAnsi="Work Sans"/>
          <w:color w:val="201F1E"/>
          <w:sz w:val="22"/>
          <w:szCs w:val="22"/>
          <w:bdr w:val="none" w:sz="0" w:space="0" w:color="auto" w:frame="1"/>
        </w:rPr>
        <w:t>, Presidente di Sistemi Formativi Confindustria Umbria, ha ringraziato il Magnifico Rettore, i suoi collaboratori e il team di Confindustria Umbria per il lavoro svolto nella progettazione di questi tre percorsi formativi, “frutto – ha sottolineato - di una bella collaborazione tra la nostra Università e le imprese della regione Umbria.  Una collaborazione che va nella direzione di un trasferimento di competenze necessario a vantaggioso per entrambe le parti. Credo profondamente – ha aggiunto - che il dialogo tra il mondo accademico e il modo dell’industria sia il migliore strumento per gestire nuove complessità. Sono sicuro che i giovani che concluderanno questi corsi incontreranno facilmente la domanda delle nostre imprese”.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Le </w:t>
      </w:r>
      <w:r>
        <w:rPr>
          <w:rFonts w:ascii="Work Sans" w:hAnsi="Work Sans"/>
          <w:b/>
          <w:bCs/>
          <w:color w:val="201F1E"/>
          <w:sz w:val="22"/>
          <w:szCs w:val="22"/>
          <w:bdr w:val="none" w:sz="0" w:space="0" w:color="auto" w:frame="1"/>
        </w:rPr>
        <w:t>aziende partner del progetto</w:t>
      </w:r>
      <w:r>
        <w:rPr>
          <w:rFonts w:ascii="Work Sans" w:hAnsi="Work Sans"/>
          <w:color w:val="201F1E"/>
          <w:sz w:val="22"/>
          <w:szCs w:val="22"/>
          <w:bdr w:val="none" w:sz="0" w:space="0" w:color="auto" w:frame="1"/>
        </w:rPr>
        <w:t> formativo sono attualmente </w:t>
      </w:r>
      <w:r>
        <w:rPr>
          <w:rFonts w:ascii="Work Sans" w:hAnsi="Work Sans"/>
          <w:b/>
          <w:bCs/>
          <w:color w:val="201F1E"/>
          <w:sz w:val="22"/>
          <w:szCs w:val="22"/>
          <w:bdr w:val="none" w:sz="0" w:space="0" w:color="auto" w:frame="1"/>
        </w:rPr>
        <w:t>28</w:t>
      </w:r>
      <w:r>
        <w:rPr>
          <w:rFonts w:ascii="Work Sans" w:hAnsi="Work Sans"/>
          <w:color w:val="201F1E"/>
          <w:sz w:val="22"/>
          <w:szCs w:val="22"/>
          <w:bdr w:val="none" w:sz="0" w:space="0" w:color="auto" w:frame="1"/>
        </w:rPr>
        <w:t>, si tratta di: </w:t>
      </w:r>
      <w:proofErr w:type="spellStart"/>
      <w:r>
        <w:rPr>
          <w:rFonts w:ascii="Work Sans" w:hAnsi="Work Sans"/>
          <w:color w:val="201F1E"/>
          <w:sz w:val="22"/>
          <w:szCs w:val="22"/>
          <w:bdr w:val="none" w:sz="0" w:space="0" w:color="auto" w:frame="1"/>
        </w:rPr>
        <w:t>Afea</w:t>
      </w:r>
      <w:proofErr w:type="spellEnd"/>
      <w:r>
        <w:rPr>
          <w:rFonts w:ascii="Work Sans" w:hAnsi="Work Sans"/>
          <w:color w:val="201F1E"/>
          <w:sz w:val="22"/>
          <w:szCs w:val="22"/>
          <w:bdr w:val="none" w:sz="0" w:space="0" w:color="auto" w:frame="1"/>
        </w:rPr>
        <w:t xml:space="preserve">, Autoservizi Troiani, Autostrade per l’Italia, Brunello Cucinelli, Bazzica, </w:t>
      </w:r>
      <w:proofErr w:type="spellStart"/>
      <w:r>
        <w:rPr>
          <w:rFonts w:ascii="Work Sans" w:hAnsi="Work Sans"/>
          <w:color w:val="201F1E"/>
          <w:sz w:val="22"/>
          <w:szCs w:val="22"/>
          <w:bdr w:val="none" w:sz="0" w:space="0" w:color="auto" w:frame="1"/>
        </w:rPr>
        <w:t>Beaulieu</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Fibres</w:t>
      </w:r>
      <w:proofErr w:type="spellEnd"/>
      <w:r>
        <w:rPr>
          <w:rFonts w:ascii="Work Sans" w:hAnsi="Work Sans"/>
          <w:color w:val="201F1E"/>
          <w:sz w:val="22"/>
          <w:szCs w:val="22"/>
          <w:bdr w:val="none" w:sz="0" w:space="0" w:color="auto" w:frame="1"/>
        </w:rPr>
        <w:t xml:space="preserve"> International Terni, </w:t>
      </w:r>
      <w:proofErr w:type="spellStart"/>
      <w:r>
        <w:rPr>
          <w:rFonts w:ascii="Work Sans" w:hAnsi="Work Sans"/>
          <w:color w:val="201F1E"/>
          <w:sz w:val="22"/>
          <w:szCs w:val="22"/>
          <w:bdr w:val="none" w:sz="0" w:space="0" w:color="auto" w:frame="1"/>
        </w:rPr>
        <w:t>Btree</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Ciam</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Colacem</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Exolon</w:t>
      </w:r>
      <w:proofErr w:type="spellEnd"/>
      <w:r>
        <w:rPr>
          <w:rFonts w:ascii="Work Sans" w:hAnsi="Work Sans"/>
          <w:color w:val="201F1E"/>
          <w:sz w:val="22"/>
          <w:szCs w:val="22"/>
          <w:bdr w:val="none" w:sz="0" w:space="0" w:color="auto" w:frame="1"/>
        </w:rPr>
        <w:t xml:space="preserve"> Group, Fucine Umbre, </w:t>
      </w:r>
      <w:proofErr w:type="spellStart"/>
      <w:r>
        <w:rPr>
          <w:rFonts w:ascii="Work Sans" w:hAnsi="Work Sans"/>
          <w:color w:val="201F1E"/>
          <w:sz w:val="22"/>
          <w:szCs w:val="22"/>
          <w:bdr w:val="none" w:sz="0" w:space="0" w:color="auto" w:frame="1"/>
        </w:rPr>
        <w:t>Gesenu</w:t>
      </w:r>
      <w:proofErr w:type="spellEnd"/>
      <w:r>
        <w:rPr>
          <w:rFonts w:ascii="Work Sans" w:hAnsi="Work Sans"/>
          <w:color w:val="201F1E"/>
          <w:sz w:val="22"/>
          <w:szCs w:val="22"/>
          <w:bdr w:val="none" w:sz="0" w:space="0" w:color="auto" w:frame="1"/>
        </w:rPr>
        <w:t xml:space="preserve">, Hi Tech Solutions, Idea-Re, </w:t>
      </w:r>
      <w:proofErr w:type="spellStart"/>
      <w:r>
        <w:rPr>
          <w:rFonts w:ascii="Work Sans" w:hAnsi="Work Sans"/>
          <w:color w:val="201F1E"/>
          <w:sz w:val="22"/>
          <w:szCs w:val="22"/>
          <w:bdr w:val="none" w:sz="0" w:space="0" w:color="auto" w:frame="1"/>
        </w:rPr>
        <w:t>Ilserv</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Itelcobroadcas</w:t>
      </w:r>
      <w:proofErr w:type="spellEnd"/>
      <w:r>
        <w:rPr>
          <w:rFonts w:ascii="Work Sans" w:hAnsi="Work Sans"/>
          <w:color w:val="201F1E"/>
          <w:sz w:val="22"/>
          <w:szCs w:val="22"/>
          <w:bdr w:val="none" w:sz="0" w:space="0" w:color="auto" w:frame="1"/>
        </w:rPr>
        <w:t xml:space="preserve">, Koenig </w:t>
      </w:r>
      <w:proofErr w:type="spellStart"/>
      <w:r>
        <w:rPr>
          <w:rFonts w:ascii="Work Sans" w:hAnsi="Work Sans"/>
          <w:color w:val="201F1E"/>
          <w:sz w:val="22"/>
          <w:szCs w:val="22"/>
          <w:bdr w:val="none" w:sz="0" w:space="0" w:color="auto" w:frame="1"/>
        </w:rPr>
        <w:t>Metall</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Gt</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Mct</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Italy</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Meccanotecnica</w:t>
      </w:r>
      <w:proofErr w:type="spellEnd"/>
      <w:r>
        <w:rPr>
          <w:rFonts w:ascii="Work Sans" w:hAnsi="Work Sans"/>
          <w:color w:val="201F1E"/>
          <w:sz w:val="22"/>
          <w:szCs w:val="22"/>
          <w:bdr w:val="none" w:sz="0" w:space="0" w:color="auto" w:frame="1"/>
        </w:rPr>
        <w:t xml:space="preserve"> Umbra, </w:t>
      </w:r>
      <w:proofErr w:type="spellStart"/>
      <w:r>
        <w:rPr>
          <w:rFonts w:ascii="Work Sans" w:hAnsi="Work Sans"/>
          <w:color w:val="201F1E"/>
          <w:sz w:val="22"/>
          <w:szCs w:val="22"/>
          <w:bdr w:val="none" w:sz="0" w:space="0" w:color="auto" w:frame="1"/>
        </w:rPr>
        <w:t>Mirachrome</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Noesis</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Oma</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Tarkett</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Tecnocarta</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Terex</w:t>
      </w:r>
      <w:proofErr w:type="spellEnd"/>
      <w:r>
        <w:rPr>
          <w:rFonts w:ascii="Work Sans" w:hAnsi="Work Sans"/>
          <w:color w:val="201F1E"/>
          <w:sz w:val="22"/>
          <w:szCs w:val="22"/>
          <w:bdr w:val="none" w:sz="0" w:space="0" w:color="auto" w:frame="1"/>
        </w:rPr>
        <w:t xml:space="preserve"> Operations </w:t>
      </w:r>
      <w:proofErr w:type="spellStart"/>
      <w:r>
        <w:rPr>
          <w:rFonts w:ascii="Work Sans" w:hAnsi="Work Sans"/>
          <w:color w:val="201F1E"/>
          <w:sz w:val="22"/>
          <w:szCs w:val="22"/>
          <w:bdr w:val="none" w:sz="0" w:space="0" w:color="auto" w:frame="1"/>
        </w:rPr>
        <w:t>Italy</w:t>
      </w:r>
      <w:proofErr w:type="spellEnd"/>
      <w:r>
        <w:rPr>
          <w:rFonts w:ascii="Work Sans" w:hAnsi="Work Sans"/>
          <w:color w:val="201F1E"/>
          <w:sz w:val="22"/>
          <w:szCs w:val="22"/>
          <w:bdr w:val="none" w:sz="0" w:space="0" w:color="auto" w:frame="1"/>
        </w:rPr>
        <w:t xml:space="preserve">, Tofi Impianti Elettrici, </w:t>
      </w:r>
      <w:proofErr w:type="spellStart"/>
      <w:r>
        <w:rPr>
          <w:rFonts w:ascii="Work Sans" w:hAnsi="Work Sans"/>
          <w:color w:val="201F1E"/>
          <w:sz w:val="22"/>
          <w:szCs w:val="22"/>
          <w:bdr w:val="none" w:sz="0" w:space="0" w:color="auto" w:frame="1"/>
        </w:rPr>
        <w:t>Tree</w:t>
      </w:r>
      <w:proofErr w:type="spellEnd"/>
      <w:r>
        <w:rPr>
          <w:rFonts w:ascii="Work Sans" w:hAnsi="Work Sans"/>
          <w:color w:val="201F1E"/>
          <w:sz w:val="22"/>
          <w:szCs w:val="22"/>
          <w:bdr w:val="none" w:sz="0" w:space="0" w:color="auto" w:frame="1"/>
        </w:rPr>
        <w:t xml:space="preserve"> e Umbria Digital Innovation </w:t>
      </w:r>
      <w:proofErr w:type="spellStart"/>
      <w:r>
        <w:rPr>
          <w:rFonts w:ascii="Work Sans" w:hAnsi="Work Sans"/>
          <w:color w:val="201F1E"/>
          <w:sz w:val="22"/>
          <w:szCs w:val="22"/>
          <w:bdr w:val="none" w:sz="0" w:space="0" w:color="auto" w:frame="1"/>
        </w:rPr>
        <w:t>Hub</w:t>
      </w:r>
      <w:proofErr w:type="spellEnd"/>
      <w:r>
        <w:rPr>
          <w:rFonts w:ascii="Work Sans" w:hAnsi="Work Sans"/>
          <w:color w:val="201F1E"/>
          <w:sz w:val="22"/>
          <w:szCs w:val="22"/>
          <w:bdr w:val="none" w:sz="0" w:space="0" w:color="auto" w:frame="1"/>
        </w:rPr>
        <w:t>. Ulteriori aziende si stanno unendo a questo gruppo di partenza.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“Prosegue la sinergia con il mondo accademico che caratterizza il percorso di profonda trasformazione, avviato da Autostrade per l’Italia S.pa. con il suo piano industriale nel 2020 – ha spiegato </w:t>
      </w:r>
      <w:r>
        <w:rPr>
          <w:rFonts w:ascii="Work Sans" w:hAnsi="Work Sans"/>
          <w:b/>
          <w:bCs/>
          <w:color w:val="201F1E"/>
          <w:sz w:val="22"/>
          <w:szCs w:val="22"/>
          <w:bdr w:val="none" w:sz="0" w:space="0" w:color="auto" w:frame="1"/>
        </w:rPr>
        <w:t>Nicola Allocca</w:t>
      </w:r>
      <w:r>
        <w:rPr>
          <w:rFonts w:ascii="Work Sans" w:hAnsi="Work Sans"/>
          <w:color w:val="201F1E"/>
          <w:sz w:val="22"/>
          <w:szCs w:val="22"/>
          <w:bdr w:val="none" w:sz="0" w:space="0" w:color="auto" w:frame="1"/>
        </w:rPr>
        <w:t> - In questo contesto, il Gruppo ASPI ha sviluppato una nuova </w:t>
      </w:r>
      <w:proofErr w:type="spellStart"/>
      <w:r>
        <w:rPr>
          <w:rFonts w:ascii="Work Sans" w:hAnsi="Work Sans"/>
          <w:i/>
          <w:iCs/>
          <w:color w:val="201F1E"/>
          <w:sz w:val="22"/>
          <w:szCs w:val="22"/>
          <w:bdr w:val="none" w:sz="0" w:space="0" w:color="auto" w:frame="1"/>
        </w:rPr>
        <w:t>governance</w:t>
      </w:r>
      <w:proofErr w:type="spellEnd"/>
      <w:r>
        <w:rPr>
          <w:rFonts w:ascii="Work Sans" w:hAnsi="Work Sans"/>
          <w:color w:val="201F1E"/>
          <w:sz w:val="22"/>
          <w:szCs w:val="22"/>
          <w:bdr w:val="none" w:sz="0" w:space="0" w:color="auto" w:frame="1"/>
        </w:rPr>
        <w:t xml:space="preserve">, inserendo figure professionali con competenze specifiche e innovative. La collaborazione con la prestigiosa Università degli Studi di Perugia rafforza questa strategia, in un quadro che prevede corsi di alta specializzazione volti ad a potenziare il cambiamento culturale in corso. </w:t>
      </w:r>
      <w:proofErr w:type="spellStart"/>
      <w:r>
        <w:rPr>
          <w:rFonts w:ascii="Work Sans" w:hAnsi="Work Sans"/>
          <w:color w:val="201F1E"/>
          <w:sz w:val="22"/>
          <w:szCs w:val="22"/>
          <w:bdr w:val="none" w:sz="0" w:space="0" w:color="auto" w:frame="1"/>
        </w:rPr>
        <w:t>Continuous</w:t>
      </w:r>
      <w:proofErr w:type="spellEnd"/>
      <w:r>
        <w:rPr>
          <w:rFonts w:ascii="Work Sans" w:hAnsi="Work Sans"/>
          <w:color w:val="201F1E"/>
          <w:sz w:val="22"/>
          <w:szCs w:val="22"/>
          <w:bdr w:val="none" w:sz="0" w:space="0" w:color="auto" w:frame="1"/>
        </w:rPr>
        <w:t xml:space="preserve"> Risk Management, </w:t>
      </w:r>
      <w:proofErr w:type="spellStart"/>
      <w:r>
        <w:rPr>
          <w:rFonts w:ascii="Work Sans" w:hAnsi="Work Sans"/>
          <w:color w:val="201F1E"/>
          <w:sz w:val="22"/>
          <w:szCs w:val="22"/>
          <w:bdr w:val="none" w:sz="0" w:space="0" w:color="auto" w:frame="1"/>
        </w:rPr>
        <w:t>Predictive</w:t>
      </w:r>
      <w:proofErr w:type="spellEnd"/>
      <w:r>
        <w:rPr>
          <w:rFonts w:ascii="Work Sans" w:hAnsi="Work Sans"/>
          <w:color w:val="201F1E"/>
          <w:sz w:val="22"/>
          <w:szCs w:val="22"/>
          <w:bdr w:val="none" w:sz="0" w:space="0" w:color="auto" w:frame="1"/>
        </w:rPr>
        <w:t xml:space="preserve"> </w:t>
      </w:r>
      <w:proofErr w:type="spellStart"/>
      <w:r>
        <w:rPr>
          <w:rFonts w:ascii="Work Sans" w:hAnsi="Work Sans"/>
          <w:color w:val="201F1E"/>
          <w:sz w:val="22"/>
          <w:szCs w:val="22"/>
          <w:bdr w:val="none" w:sz="0" w:space="0" w:color="auto" w:frame="1"/>
        </w:rPr>
        <w:t>Compliance</w:t>
      </w:r>
      <w:proofErr w:type="spellEnd"/>
      <w:r>
        <w:rPr>
          <w:rFonts w:ascii="Work Sans" w:hAnsi="Work Sans"/>
          <w:color w:val="201F1E"/>
          <w:sz w:val="22"/>
          <w:szCs w:val="22"/>
          <w:bdr w:val="none" w:sz="0" w:space="0" w:color="auto" w:frame="1"/>
        </w:rPr>
        <w:t xml:space="preserve"> e Active Business </w:t>
      </w:r>
      <w:proofErr w:type="spellStart"/>
      <w:r>
        <w:rPr>
          <w:rFonts w:ascii="Work Sans" w:hAnsi="Work Sans"/>
          <w:color w:val="201F1E"/>
          <w:sz w:val="22"/>
          <w:szCs w:val="22"/>
          <w:bdr w:val="none" w:sz="0" w:space="0" w:color="auto" w:frame="1"/>
        </w:rPr>
        <w:t>Continuity</w:t>
      </w:r>
      <w:proofErr w:type="spellEnd"/>
      <w:r>
        <w:rPr>
          <w:rFonts w:ascii="Work Sans" w:hAnsi="Work Sans"/>
          <w:color w:val="201F1E"/>
          <w:sz w:val="22"/>
          <w:szCs w:val="22"/>
          <w:bdr w:val="none" w:sz="0" w:space="0" w:color="auto" w:frame="1"/>
        </w:rPr>
        <w:t xml:space="preserve"> Management sono i fattori principali per il raggiungimento delle performance nel rispetto di leggi e regolamenti, a garanzia dell’integrità e dell’affidabilità dei dati”. </w:t>
      </w:r>
    </w:p>
    <w:p w:rsidR="00B62D8C" w:rsidRDefault="00B62D8C" w:rsidP="00B62D8C">
      <w:pPr>
        <w:pStyle w:val="xxxxxmsonormal"/>
        <w:shd w:val="clear" w:color="auto" w:fill="FFFFFF"/>
        <w:spacing w:before="0" w:beforeAutospacing="0" w:after="0" w:afterAutospacing="0" w:line="276" w:lineRule="atLeast"/>
        <w:jc w:val="both"/>
        <w:rPr>
          <w:color w:val="201F1E"/>
        </w:rPr>
      </w:pP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 corsi, della durata di un anno, sono articolati in 450 ore di lezione teorica in aula e sei mesi di tirocinio in aziende primarie del territorio.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In particolare, il corso </w:t>
      </w:r>
      <w:r>
        <w:rPr>
          <w:rFonts w:ascii="Work Sans" w:hAnsi="Work Sans"/>
          <w:b/>
          <w:bCs/>
          <w:color w:val="201F1E"/>
          <w:sz w:val="22"/>
          <w:szCs w:val="22"/>
          <w:bdr w:val="none" w:sz="0" w:space="0" w:color="auto" w:frame="1"/>
        </w:rPr>
        <w:t xml:space="preserve">Risk and business </w:t>
      </w:r>
      <w:proofErr w:type="spellStart"/>
      <w:r>
        <w:rPr>
          <w:rFonts w:ascii="Work Sans" w:hAnsi="Work Sans"/>
          <w:b/>
          <w:bCs/>
          <w:color w:val="201F1E"/>
          <w:sz w:val="22"/>
          <w:szCs w:val="22"/>
          <w:bdr w:val="none" w:sz="0" w:space="0" w:color="auto" w:frame="1"/>
        </w:rPr>
        <w:t>continuity</w:t>
      </w:r>
      <w:proofErr w:type="spellEnd"/>
      <w:r>
        <w:rPr>
          <w:rFonts w:ascii="Work Sans" w:hAnsi="Work Sans"/>
          <w:b/>
          <w:bCs/>
          <w:color w:val="201F1E"/>
          <w:sz w:val="22"/>
          <w:szCs w:val="22"/>
          <w:bdr w:val="none" w:sz="0" w:space="0" w:color="auto" w:frame="1"/>
        </w:rPr>
        <w:t xml:space="preserve"> manager </w:t>
      </w:r>
      <w:r>
        <w:rPr>
          <w:rFonts w:ascii="Work Sans" w:hAnsi="Work Sans"/>
          <w:color w:val="201F1E"/>
          <w:sz w:val="22"/>
          <w:szCs w:val="22"/>
          <w:bdr w:val="none" w:sz="0" w:space="0" w:color="auto" w:frame="1"/>
        </w:rPr>
        <w:t>è volto all’analisi dei processi gestionali per identificare e valutare in anticipo il potenziale di rischio per l’organizzazione, al fine di evitare o mitigare i rischi che potrebbero compromettere l’attività aziendale.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Il corso </w:t>
      </w:r>
      <w:r>
        <w:rPr>
          <w:rFonts w:ascii="Work Sans" w:hAnsi="Work Sans"/>
          <w:b/>
          <w:bCs/>
          <w:color w:val="201F1E"/>
          <w:sz w:val="22"/>
          <w:szCs w:val="22"/>
          <w:bdr w:val="none" w:sz="0" w:space="0" w:color="auto" w:frame="1"/>
        </w:rPr>
        <w:t xml:space="preserve">Industrial sustainability </w:t>
      </w:r>
      <w:proofErr w:type="spellStart"/>
      <w:r>
        <w:rPr>
          <w:rFonts w:ascii="Work Sans" w:hAnsi="Work Sans"/>
          <w:b/>
          <w:bCs/>
          <w:color w:val="201F1E"/>
          <w:sz w:val="22"/>
          <w:szCs w:val="22"/>
          <w:bdr w:val="none" w:sz="0" w:space="0" w:color="auto" w:frame="1"/>
        </w:rPr>
        <w:t>specialist</w:t>
      </w:r>
      <w:proofErr w:type="spellEnd"/>
      <w:r>
        <w:rPr>
          <w:rFonts w:ascii="Work Sans" w:hAnsi="Work Sans"/>
          <w:b/>
          <w:bCs/>
          <w:color w:val="201F1E"/>
          <w:sz w:val="22"/>
          <w:szCs w:val="22"/>
          <w:bdr w:val="none" w:sz="0" w:space="0" w:color="auto" w:frame="1"/>
        </w:rPr>
        <w:t> </w:t>
      </w:r>
      <w:r>
        <w:rPr>
          <w:rFonts w:ascii="Work Sans" w:hAnsi="Work Sans"/>
          <w:color w:val="201F1E"/>
          <w:sz w:val="22"/>
          <w:szCs w:val="22"/>
          <w:bdr w:val="none" w:sz="0" w:space="0" w:color="auto" w:frame="1"/>
        </w:rPr>
        <w:t>si pone l’obiettivo di trasferire competenze per definire, proporre e coordinare le azioni necessarie per la riduzione di costi e di consumi di risorse, con particolare riferimento a quelle energetiche, per il miglioramento delle prestazioni ambientali aziendali.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Infine, il corso </w:t>
      </w:r>
      <w:r>
        <w:rPr>
          <w:rFonts w:ascii="Work Sans" w:hAnsi="Work Sans"/>
          <w:b/>
          <w:bCs/>
          <w:color w:val="201F1E"/>
          <w:sz w:val="22"/>
          <w:szCs w:val="22"/>
          <w:bdr w:val="none" w:sz="0" w:space="0" w:color="auto" w:frame="1"/>
        </w:rPr>
        <w:t>Industrial fundraiser </w:t>
      </w:r>
      <w:r>
        <w:rPr>
          <w:rFonts w:ascii="Work Sans" w:hAnsi="Work Sans"/>
          <w:color w:val="201F1E"/>
          <w:sz w:val="22"/>
          <w:szCs w:val="22"/>
          <w:bdr w:val="none" w:sz="0" w:space="0" w:color="auto" w:frame="1"/>
        </w:rPr>
        <w:t>formerà figure esperte nell’intercettare opportunità di finanziamento per le imprese nell’ambito di bandi regionali, nazionali e comunitari.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000000"/>
          <w:sz w:val="22"/>
          <w:szCs w:val="22"/>
          <w:bdr w:val="none" w:sz="0" w:space="0" w:color="auto" w:frame="1"/>
        </w:rPr>
        <w:t>Tutti i percorsi formativi sono rivolti a giovani neolaureate e neolaureati, disoccupate e disoccupati o inoccupate e inoccupati, iscritte e iscritti a uno dei Centri per l’impiego della Regione Umbria, di età inferiore a 30 anni e in possesso di una laurea magistrale.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lastRenderedPageBreak/>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La </w:t>
      </w:r>
      <w:r>
        <w:rPr>
          <w:rFonts w:ascii="Work Sans" w:hAnsi="Work Sans"/>
          <w:b/>
          <w:bCs/>
          <w:color w:val="201F1E"/>
          <w:sz w:val="22"/>
          <w:szCs w:val="22"/>
          <w:bdr w:val="none" w:sz="0" w:space="0" w:color="auto" w:frame="1"/>
        </w:rPr>
        <w:t>partecipazione ai corsi è gratuita</w:t>
      </w:r>
      <w:r>
        <w:rPr>
          <w:rFonts w:ascii="Work Sans" w:hAnsi="Work Sans"/>
          <w:color w:val="201F1E"/>
          <w:sz w:val="22"/>
          <w:szCs w:val="22"/>
          <w:bdr w:val="none" w:sz="0" w:space="0" w:color="auto" w:frame="1"/>
        </w:rPr>
        <w:t xml:space="preserve">. Per ciascun percorso saranno selezionate 15 discenti a seguito di una prova scritta, di un test a risposta multipla di cultura generale e di un colloquio per approfondire l’attitudine al </w:t>
      </w:r>
      <w:proofErr w:type="gramStart"/>
      <w:r>
        <w:rPr>
          <w:rFonts w:ascii="Work Sans" w:hAnsi="Work Sans"/>
          <w:color w:val="201F1E"/>
          <w:sz w:val="22"/>
          <w:szCs w:val="22"/>
          <w:bdr w:val="none" w:sz="0" w:space="0" w:color="auto" w:frame="1"/>
        </w:rPr>
        <w:t>ruolo  la</w:t>
      </w:r>
      <w:proofErr w:type="gramEnd"/>
      <w:r>
        <w:rPr>
          <w:rFonts w:ascii="Work Sans" w:hAnsi="Work Sans"/>
          <w:color w:val="201F1E"/>
          <w:sz w:val="22"/>
          <w:szCs w:val="22"/>
          <w:bdr w:val="none" w:sz="0" w:space="0" w:color="auto" w:frame="1"/>
        </w:rPr>
        <w:t xml:space="preserve"> motivazione di candidate e candidati a intraprendere il percorso formativo.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 </w:t>
      </w:r>
      <w:r>
        <w:rPr>
          <w:rFonts w:ascii="Work Sans" w:hAnsi="Work Sans"/>
          <w:b/>
          <w:bCs/>
          <w:color w:val="201F1E"/>
          <w:sz w:val="22"/>
          <w:szCs w:val="22"/>
          <w:bdr w:val="none" w:sz="0" w:space="0" w:color="auto" w:frame="1"/>
        </w:rPr>
        <w:t>bandi sono già aperti</w:t>
      </w:r>
      <w:r>
        <w:rPr>
          <w:rFonts w:ascii="Work Sans" w:hAnsi="Work Sans"/>
          <w:color w:val="201F1E"/>
          <w:sz w:val="22"/>
          <w:szCs w:val="22"/>
          <w:bdr w:val="none" w:sz="0" w:space="0" w:color="auto" w:frame="1"/>
        </w:rPr>
        <w:t> ed è possibile sin d’ora inviare la propria candidatura. L’avvio dei corsi è previsto per il mese di giugno 2022.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La formazione teorica si svolgerà in modalità formazione a distanza sincrona o, nel caso in cui la situazione epidemiologica lo consenta, presso le sedi dell’Università degli Studi di Perugia. Ciascun percorso prevede un tirocinio curricolare retribuito della durata di 720 ore (6 mesi), all’interno di importanti imprese industriali. </w:t>
      </w:r>
    </w:p>
    <w:p w:rsidR="00B62D8C" w:rsidRDefault="00B62D8C" w:rsidP="00B62D8C">
      <w:pPr>
        <w:pStyle w:val="xxxxxmsonormal"/>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B62D8C" w:rsidRDefault="00B62D8C" w:rsidP="00B62D8C">
      <w:pPr>
        <w:pStyle w:val="xxxxxxmsonormal"/>
        <w:shd w:val="clear" w:color="auto" w:fill="FFFFFF"/>
        <w:spacing w:before="0" w:beforeAutospacing="0" w:after="0" w:afterAutospacing="0"/>
        <w:rPr>
          <w:color w:val="201F1E"/>
        </w:rPr>
      </w:pPr>
      <w:r>
        <w:rPr>
          <w:rFonts w:ascii="Work Sans" w:hAnsi="Work Sans"/>
          <w:color w:val="212529"/>
          <w:sz w:val="22"/>
          <w:szCs w:val="22"/>
          <w:bdr w:val="none" w:sz="0" w:space="0" w:color="auto" w:frame="1"/>
        </w:rPr>
        <w:t>I bandi, con tutti i dettagli per la partecipazione ai corsi, sono disponibili al seguente </w:t>
      </w:r>
      <w:hyperlink r:id="rId8" w:tgtFrame="_blank" w:history="1">
        <w:r>
          <w:rPr>
            <w:rStyle w:val="Collegamentoipertestuale"/>
            <w:rFonts w:ascii="Work Sans" w:hAnsi="Work Sans"/>
            <w:sz w:val="22"/>
            <w:szCs w:val="22"/>
            <w:bdr w:val="none" w:sz="0" w:space="0" w:color="auto" w:frame="1"/>
          </w:rPr>
          <w:t>link</w:t>
        </w:r>
      </w:hyperlink>
      <w:r>
        <w:rPr>
          <w:rFonts w:ascii="Work Sans" w:hAnsi="Work Sans"/>
          <w:color w:val="212529"/>
          <w:sz w:val="22"/>
          <w:szCs w:val="22"/>
          <w:bdr w:val="none" w:sz="0" w:space="0" w:color="auto" w:frame="1"/>
        </w:rPr>
        <w:t> </w:t>
      </w:r>
    </w:p>
    <w:p w:rsidR="00B62D8C" w:rsidRDefault="00B62D8C" w:rsidP="00B62D8C">
      <w:pPr>
        <w:pStyle w:val="xxxxxxmsonormal"/>
        <w:shd w:val="clear" w:color="auto" w:fill="FFFFFF"/>
        <w:spacing w:before="0" w:beforeAutospacing="0" w:after="0" w:afterAutospacing="0"/>
        <w:rPr>
          <w:color w:val="201F1E"/>
        </w:rPr>
      </w:pPr>
      <w:r>
        <w:rPr>
          <w:rFonts w:ascii="Work Sans" w:hAnsi="Work Sans"/>
          <w:color w:val="212529"/>
          <w:sz w:val="22"/>
          <w:szCs w:val="22"/>
          <w:bdr w:val="none" w:sz="0" w:space="0" w:color="auto" w:frame="1"/>
        </w:rPr>
        <w:t>Ulteriori informazioni sul portale: </w:t>
      </w:r>
      <w:hyperlink r:id="rId9" w:tgtFrame="_blank" w:history="1">
        <w:r>
          <w:rPr>
            <w:rStyle w:val="Collegamentoipertestuale"/>
            <w:rFonts w:ascii="Work Sans" w:hAnsi="Work Sans"/>
            <w:color w:val="27348B"/>
            <w:sz w:val="22"/>
            <w:szCs w:val="22"/>
            <w:bdr w:val="none" w:sz="0" w:space="0" w:color="auto" w:frame="1"/>
          </w:rPr>
          <w:t>www.sfcu.it</w:t>
        </w:r>
      </w:hyperlink>
      <w:r>
        <w:rPr>
          <w:rFonts w:ascii="Work Sans" w:hAnsi="Work Sans"/>
          <w:color w:val="212529"/>
          <w:sz w:val="22"/>
          <w:szCs w:val="22"/>
          <w:bdr w:val="none" w:sz="0" w:space="0" w:color="auto" w:frame="1"/>
        </w:rPr>
        <w:t>. </w:t>
      </w:r>
    </w:p>
    <w:p w:rsidR="00B62D8C" w:rsidRDefault="00B62D8C" w:rsidP="00B62D8C">
      <w:pPr>
        <w:pStyle w:val="xxxxxmsonormal"/>
        <w:shd w:val="clear" w:color="auto" w:fill="FFFFFF"/>
        <w:spacing w:before="0" w:beforeAutospacing="0" w:after="0" w:afterAutospacing="0" w:line="276" w:lineRule="atLeast"/>
        <w:jc w:val="both"/>
        <w:rPr>
          <w:rFonts w:ascii="Work Sans" w:hAnsi="Work Sans"/>
          <w:color w:val="201F1E"/>
          <w:sz w:val="22"/>
          <w:szCs w:val="22"/>
          <w:bdr w:val="none" w:sz="0" w:space="0" w:color="auto" w:frame="1"/>
        </w:rPr>
      </w:pPr>
      <w:r>
        <w:rPr>
          <w:rFonts w:ascii="Work Sans" w:hAnsi="Work Sans"/>
          <w:color w:val="201F1E"/>
          <w:sz w:val="22"/>
          <w:szCs w:val="22"/>
          <w:bdr w:val="none" w:sz="0" w:space="0" w:color="auto" w:frame="1"/>
        </w:rPr>
        <w:t> </w:t>
      </w:r>
    </w:p>
    <w:p w:rsidR="004D2644" w:rsidRDefault="004D2644" w:rsidP="00B62D8C">
      <w:pPr>
        <w:pStyle w:val="xxxxxmsonormal"/>
        <w:shd w:val="clear" w:color="auto" w:fill="FFFFFF"/>
        <w:spacing w:before="0" w:beforeAutospacing="0" w:after="0" w:afterAutospacing="0" w:line="276" w:lineRule="atLeast"/>
        <w:jc w:val="both"/>
        <w:rPr>
          <w:color w:val="201F1E"/>
        </w:rPr>
      </w:pPr>
    </w:p>
    <w:p w:rsidR="004D2644" w:rsidRDefault="004D2644" w:rsidP="00B62D8C">
      <w:pPr>
        <w:pStyle w:val="xxxxxmsonormal"/>
        <w:shd w:val="clear" w:color="auto" w:fill="FFFFFF"/>
        <w:spacing w:before="0" w:beforeAutospacing="0" w:after="0" w:afterAutospacing="0" w:line="276" w:lineRule="atLeast"/>
        <w:jc w:val="both"/>
        <w:rPr>
          <w:color w:val="201F1E"/>
        </w:rPr>
      </w:pPr>
      <w:bookmarkStart w:id="0" w:name="_GoBack"/>
      <w:bookmarkEnd w:id="0"/>
    </w:p>
    <w:p w:rsidR="00B62D8C" w:rsidRDefault="00B62D8C" w:rsidP="00B62D8C">
      <w:pPr>
        <w:pStyle w:val="NormaleWeb"/>
        <w:shd w:val="clear" w:color="auto" w:fill="FFFFFF"/>
        <w:spacing w:before="0" w:beforeAutospacing="0" w:after="0" w:afterAutospacing="0" w:line="276" w:lineRule="atLeast"/>
        <w:jc w:val="center"/>
        <w:rPr>
          <w:color w:val="201F1E"/>
        </w:rPr>
      </w:pPr>
      <w:r>
        <w:rPr>
          <w:rFonts w:ascii="Work Sans" w:hAnsi="Work Sans"/>
          <w:color w:val="201F1E"/>
          <w:sz w:val="22"/>
          <w:szCs w:val="22"/>
          <w:bdr w:val="none" w:sz="0" w:space="0" w:color="auto" w:frame="1"/>
        </w:rPr>
        <w:t>   </w:t>
      </w:r>
    </w:p>
    <w:p w:rsidR="00B62D8C" w:rsidRDefault="00B62D8C" w:rsidP="00B62D8C">
      <w:pPr>
        <w:pStyle w:val="NormaleWeb"/>
        <w:shd w:val="clear" w:color="auto" w:fill="FFFFFF"/>
        <w:spacing w:before="0" w:beforeAutospacing="0" w:after="0" w:afterAutospacing="0" w:line="276" w:lineRule="atLeast"/>
        <w:jc w:val="both"/>
        <w:rPr>
          <w:color w:val="201F1E"/>
        </w:rPr>
      </w:pPr>
      <w:r>
        <w:rPr>
          <w:rFonts w:ascii="Work Sans" w:hAnsi="Work Sans"/>
          <w:b/>
          <w:bCs/>
          <w:color w:val="201F1E"/>
          <w:sz w:val="22"/>
          <w:szCs w:val="22"/>
          <w:bdr w:val="none" w:sz="0" w:space="0" w:color="auto" w:frame="1"/>
        </w:rPr>
        <w:t>Perugia, 29 marzo 2022</w:t>
      </w:r>
      <w:r>
        <w:rPr>
          <w:rFonts w:ascii="Work Sans" w:hAnsi="Work Sans"/>
          <w:color w:val="201F1E"/>
          <w:sz w:val="22"/>
          <w:szCs w:val="22"/>
          <w:bdr w:val="none" w:sz="0" w:space="0" w:color="auto" w:frame="1"/>
        </w:rPr>
        <w:t>  </w:t>
      </w:r>
    </w:p>
    <w:p w:rsidR="00495968" w:rsidRPr="00444A55" w:rsidRDefault="00495968" w:rsidP="00B62D8C">
      <w:pPr>
        <w:pStyle w:val="NormaleWeb"/>
        <w:shd w:val="clear" w:color="auto" w:fill="FFFFFF"/>
        <w:spacing w:before="0" w:beforeAutospacing="0" w:after="0" w:afterAutospacing="0" w:line="276" w:lineRule="atLeast"/>
        <w:jc w:val="center"/>
        <w:rPr>
          <w:rFonts w:ascii="Work Sans" w:hAnsi="Work Sans"/>
          <w:sz w:val="22"/>
          <w:szCs w:val="22"/>
        </w:rPr>
      </w:pPr>
    </w:p>
    <w:sectPr w:rsidR="00495968" w:rsidRPr="00444A55" w:rsidSect="00A97116">
      <w:headerReference w:type="even" r:id="rId10"/>
      <w:headerReference w:type="default" r:id="rId11"/>
      <w:footerReference w:type="even" r:id="rId12"/>
      <w:footerReference w:type="default" r:id="rId13"/>
      <w:headerReference w:type="first" r:id="rId14"/>
      <w:footerReference w:type="first" r:id="rId15"/>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99B" w:rsidRDefault="0007099B" w:rsidP="00A97116">
      <w:r>
        <w:separator/>
      </w:r>
    </w:p>
  </w:endnote>
  <w:endnote w:type="continuationSeparator" w:id="0">
    <w:p w:rsidR="0007099B" w:rsidRDefault="0007099B"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94592E">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99B" w:rsidRDefault="0007099B" w:rsidP="00A97116">
      <w:r>
        <w:separator/>
      </w:r>
    </w:p>
  </w:footnote>
  <w:footnote w:type="continuationSeparator" w:id="0">
    <w:p w:rsidR="0007099B" w:rsidRDefault="0007099B"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07099B">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07099B">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07099B">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57872"/>
    <w:rsid w:val="00060C86"/>
    <w:rsid w:val="0007099B"/>
    <w:rsid w:val="000A005B"/>
    <w:rsid w:val="000A03D9"/>
    <w:rsid w:val="000A2F6F"/>
    <w:rsid w:val="000B64BF"/>
    <w:rsid w:val="000B7497"/>
    <w:rsid w:val="000D7C00"/>
    <w:rsid w:val="001029A5"/>
    <w:rsid w:val="001127B2"/>
    <w:rsid w:val="0012138C"/>
    <w:rsid w:val="001411EB"/>
    <w:rsid w:val="00144CBA"/>
    <w:rsid w:val="001572BD"/>
    <w:rsid w:val="00176A81"/>
    <w:rsid w:val="001842B2"/>
    <w:rsid w:val="00184583"/>
    <w:rsid w:val="001A17E2"/>
    <w:rsid w:val="001A2E47"/>
    <w:rsid w:val="001C24A0"/>
    <w:rsid w:val="001D0BFB"/>
    <w:rsid w:val="001D4182"/>
    <w:rsid w:val="001D4811"/>
    <w:rsid w:val="001E0B2F"/>
    <w:rsid w:val="001F16B2"/>
    <w:rsid w:val="00206672"/>
    <w:rsid w:val="00227F7E"/>
    <w:rsid w:val="00232CAD"/>
    <w:rsid w:val="00262D04"/>
    <w:rsid w:val="0026695B"/>
    <w:rsid w:val="00272AC7"/>
    <w:rsid w:val="0027576C"/>
    <w:rsid w:val="0029679F"/>
    <w:rsid w:val="002A34DB"/>
    <w:rsid w:val="002B3588"/>
    <w:rsid w:val="002C63C6"/>
    <w:rsid w:val="002D2F55"/>
    <w:rsid w:val="002E7545"/>
    <w:rsid w:val="0031449D"/>
    <w:rsid w:val="00332CC1"/>
    <w:rsid w:val="00346C1F"/>
    <w:rsid w:val="00371E4B"/>
    <w:rsid w:val="00372829"/>
    <w:rsid w:val="00381E62"/>
    <w:rsid w:val="003A2B60"/>
    <w:rsid w:val="003A303A"/>
    <w:rsid w:val="003A55F7"/>
    <w:rsid w:val="003D1321"/>
    <w:rsid w:val="003D517F"/>
    <w:rsid w:val="003F3860"/>
    <w:rsid w:val="00415822"/>
    <w:rsid w:val="0042068C"/>
    <w:rsid w:val="004235BD"/>
    <w:rsid w:val="004237F0"/>
    <w:rsid w:val="00444A55"/>
    <w:rsid w:val="00465384"/>
    <w:rsid w:val="00465C29"/>
    <w:rsid w:val="00495968"/>
    <w:rsid w:val="004A1E19"/>
    <w:rsid w:val="004B11E3"/>
    <w:rsid w:val="004D2644"/>
    <w:rsid w:val="004D6941"/>
    <w:rsid w:val="005226C4"/>
    <w:rsid w:val="005348D7"/>
    <w:rsid w:val="0054363F"/>
    <w:rsid w:val="00544400"/>
    <w:rsid w:val="00553162"/>
    <w:rsid w:val="00555F10"/>
    <w:rsid w:val="00577169"/>
    <w:rsid w:val="005A6788"/>
    <w:rsid w:val="005C0B48"/>
    <w:rsid w:val="005C1D47"/>
    <w:rsid w:val="005C1D96"/>
    <w:rsid w:val="005C469E"/>
    <w:rsid w:val="005D6909"/>
    <w:rsid w:val="005E02F1"/>
    <w:rsid w:val="005E0412"/>
    <w:rsid w:val="005F39CE"/>
    <w:rsid w:val="006015F4"/>
    <w:rsid w:val="006053E8"/>
    <w:rsid w:val="00605BB5"/>
    <w:rsid w:val="00617E99"/>
    <w:rsid w:val="006207E4"/>
    <w:rsid w:val="00633B80"/>
    <w:rsid w:val="0063667F"/>
    <w:rsid w:val="00637416"/>
    <w:rsid w:val="00665F63"/>
    <w:rsid w:val="00670ADA"/>
    <w:rsid w:val="006A25DF"/>
    <w:rsid w:val="006B184F"/>
    <w:rsid w:val="006E3238"/>
    <w:rsid w:val="006F5E39"/>
    <w:rsid w:val="007128CE"/>
    <w:rsid w:val="00714F7C"/>
    <w:rsid w:val="00743734"/>
    <w:rsid w:val="00752EF6"/>
    <w:rsid w:val="00780492"/>
    <w:rsid w:val="007959A3"/>
    <w:rsid w:val="007959EE"/>
    <w:rsid w:val="007A6142"/>
    <w:rsid w:val="007B4459"/>
    <w:rsid w:val="007D2872"/>
    <w:rsid w:val="007D507B"/>
    <w:rsid w:val="007E5881"/>
    <w:rsid w:val="00800E7C"/>
    <w:rsid w:val="00816489"/>
    <w:rsid w:val="00835285"/>
    <w:rsid w:val="008478EC"/>
    <w:rsid w:val="00856670"/>
    <w:rsid w:val="00881C22"/>
    <w:rsid w:val="008D5FDA"/>
    <w:rsid w:val="008F46A2"/>
    <w:rsid w:val="009213D0"/>
    <w:rsid w:val="0093456C"/>
    <w:rsid w:val="009417C4"/>
    <w:rsid w:val="0094592E"/>
    <w:rsid w:val="00950C59"/>
    <w:rsid w:val="009625D4"/>
    <w:rsid w:val="009679FA"/>
    <w:rsid w:val="00967BEE"/>
    <w:rsid w:val="00977A1D"/>
    <w:rsid w:val="009835E5"/>
    <w:rsid w:val="00983ECC"/>
    <w:rsid w:val="00991958"/>
    <w:rsid w:val="00992C3C"/>
    <w:rsid w:val="009A4F67"/>
    <w:rsid w:val="009A7396"/>
    <w:rsid w:val="00A04371"/>
    <w:rsid w:val="00A04B8B"/>
    <w:rsid w:val="00A05719"/>
    <w:rsid w:val="00A07B32"/>
    <w:rsid w:val="00A22995"/>
    <w:rsid w:val="00A92759"/>
    <w:rsid w:val="00A931E8"/>
    <w:rsid w:val="00A97116"/>
    <w:rsid w:val="00AA752B"/>
    <w:rsid w:val="00AC6EA7"/>
    <w:rsid w:val="00AE4740"/>
    <w:rsid w:val="00AF4C27"/>
    <w:rsid w:val="00AF7F68"/>
    <w:rsid w:val="00B24466"/>
    <w:rsid w:val="00B30013"/>
    <w:rsid w:val="00B614BC"/>
    <w:rsid w:val="00B62D8C"/>
    <w:rsid w:val="00B8408A"/>
    <w:rsid w:val="00B86C36"/>
    <w:rsid w:val="00B94477"/>
    <w:rsid w:val="00BA011A"/>
    <w:rsid w:val="00BA421D"/>
    <w:rsid w:val="00BA74FE"/>
    <w:rsid w:val="00BC68CC"/>
    <w:rsid w:val="00BE6D66"/>
    <w:rsid w:val="00BE6F86"/>
    <w:rsid w:val="00BE7104"/>
    <w:rsid w:val="00BE7825"/>
    <w:rsid w:val="00BF05BA"/>
    <w:rsid w:val="00BF15D6"/>
    <w:rsid w:val="00BF2514"/>
    <w:rsid w:val="00BF3027"/>
    <w:rsid w:val="00BF512E"/>
    <w:rsid w:val="00C163D4"/>
    <w:rsid w:val="00C3322F"/>
    <w:rsid w:val="00C379DC"/>
    <w:rsid w:val="00C41074"/>
    <w:rsid w:val="00C42DA9"/>
    <w:rsid w:val="00C45593"/>
    <w:rsid w:val="00C552F7"/>
    <w:rsid w:val="00C739FF"/>
    <w:rsid w:val="00CA65A5"/>
    <w:rsid w:val="00CB4C0F"/>
    <w:rsid w:val="00CD2D1F"/>
    <w:rsid w:val="00CE5BCD"/>
    <w:rsid w:val="00D30210"/>
    <w:rsid w:val="00D42FF8"/>
    <w:rsid w:val="00D463B9"/>
    <w:rsid w:val="00D47055"/>
    <w:rsid w:val="00D52651"/>
    <w:rsid w:val="00D95745"/>
    <w:rsid w:val="00DD1156"/>
    <w:rsid w:val="00DD355E"/>
    <w:rsid w:val="00E1267D"/>
    <w:rsid w:val="00E245E9"/>
    <w:rsid w:val="00E26B5A"/>
    <w:rsid w:val="00E3478D"/>
    <w:rsid w:val="00E56999"/>
    <w:rsid w:val="00E57A8C"/>
    <w:rsid w:val="00E6071E"/>
    <w:rsid w:val="00E64442"/>
    <w:rsid w:val="00E87555"/>
    <w:rsid w:val="00E91778"/>
    <w:rsid w:val="00EA4731"/>
    <w:rsid w:val="00EC0468"/>
    <w:rsid w:val="00EC0DAE"/>
    <w:rsid w:val="00EC37E3"/>
    <w:rsid w:val="00ED4D16"/>
    <w:rsid w:val="00EE4F2C"/>
    <w:rsid w:val="00EF7053"/>
    <w:rsid w:val="00F10169"/>
    <w:rsid w:val="00F149C8"/>
    <w:rsid w:val="00F26E52"/>
    <w:rsid w:val="00F33A51"/>
    <w:rsid w:val="00F71F1A"/>
    <w:rsid w:val="00F83D1C"/>
    <w:rsid w:val="00F92026"/>
    <w:rsid w:val="00FA5D01"/>
    <w:rsid w:val="00FA799E"/>
    <w:rsid w:val="00FB6429"/>
    <w:rsid w:val="00FC4165"/>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6F5852CE"/>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7F7065"/>
  <w15:docId w15:val="{BE73A59A-6441-457F-92DD-79EE3EC6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 w:type="character" w:customStyle="1" w:styleId="mw-headline">
    <w:name w:val="mw-headline"/>
    <w:basedOn w:val="Carpredefinitoparagrafo"/>
    <w:rsid w:val="005C1D47"/>
  </w:style>
  <w:style w:type="character" w:customStyle="1" w:styleId="mw-editsection">
    <w:name w:val="mw-editsection"/>
    <w:basedOn w:val="Carpredefinitoparagrafo"/>
    <w:rsid w:val="005C1D47"/>
  </w:style>
  <w:style w:type="character" w:customStyle="1" w:styleId="mw-editsection-bracket">
    <w:name w:val="mw-editsection-bracket"/>
    <w:basedOn w:val="Carpredefinitoparagrafo"/>
    <w:rsid w:val="005C1D47"/>
  </w:style>
  <w:style w:type="character" w:customStyle="1" w:styleId="mw-editsection-divider">
    <w:name w:val="mw-editsection-divider"/>
    <w:basedOn w:val="Carpredefinitoparagrafo"/>
    <w:rsid w:val="005C1D47"/>
  </w:style>
  <w:style w:type="paragraph" w:customStyle="1" w:styleId="xxmsonormal0">
    <w:name w:val="x_xmsonormal"/>
    <w:basedOn w:val="Normale"/>
    <w:rsid w:val="00856670"/>
    <w:pPr>
      <w:spacing w:before="100" w:beforeAutospacing="1" w:after="100" w:afterAutospacing="1"/>
    </w:pPr>
    <w:rPr>
      <w:rFonts w:ascii="Times New Roman" w:hAnsi="Times New Roman"/>
    </w:rPr>
  </w:style>
  <w:style w:type="paragraph" w:customStyle="1" w:styleId="xxxxxmsonormal">
    <w:name w:val="x_x_x_x_x_msonormal"/>
    <w:basedOn w:val="Normale"/>
    <w:rsid w:val="00B62D8C"/>
    <w:pPr>
      <w:spacing w:before="100" w:beforeAutospacing="1" w:after="100" w:afterAutospacing="1"/>
    </w:pPr>
    <w:rPr>
      <w:rFonts w:ascii="Times New Roman" w:hAnsi="Times New Roman"/>
    </w:rPr>
  </w:style>
  <w:style w:type="paragraph" w:customStyle="1" w:styleId="xxxxxxmsonormal">
    <w:name w:val="x_x_x_x_x_xmsonormal"/>
    <w:basedOn w:val="Normale"/>
    <w:rsid w:val="00B62D8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464545709">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682123683">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612471568">
      <w:bodyDiv w:val="1"/>
      <w:marLeft w:val="0"/>
      <w:marRight w:val="0"/>
      <w:marTop w:val="0"/>
      <w:marBottom w:val="0"/>
      <w:divBdr>
        <w:top w:val="none" w:sz="0" w:space="0" w:color="auto"/>
        <w:left w:val="none" w:sz="0" w:space="0" w:color="auto"/>
        <w:bottom w:val="none" w:sz="0" w:space="0" w:color="auto"/>
        <w:right w:val="none" w:sz="0" w:space="0" w:color="auto"/>
      </w:divBdr>
    </w:div>
    <w:div w:id="1683165286">
      <w:bodyDiv w:val="1"/>
      <w:marLeft w:val="0"/>
      <w:marRight w:val="0"/>
      <w:marTop w:val="0"/>
      <w:marBottom w:val="0"/>
      <w:divBdr>
        <w:top w:val="none" w:sz="0" w:space="0" w:color="auto"/>
        <w:left w:val="none" w:sz="0" w:space="0" w:color="auto"/>
        <w:bottom w:val="none" w:sz="0" w:space="0" w:color="auto"/>
        <w:right w:val="none" w:sz="0" w:space="0" w:color="auto"/>
      </w:divBdr>
      <w:divsChild>
        <w:div w:id="1792868728">
          <w:marLeft w:val="0"/>
          <w:marRight w:val="0"/>
          <w:marTop w:val="0"/>
          <w:marBottom w:val="0"/>
          <w:divBdr>
            <w:top w:val="none" w:sz="0" w:space="0" w:color="auto"/>
            <w:left w:val="none" w:sz="0" w:space="0" w:color="auto"/>
            <w:bottom w:val="none" w:sz="0" w:space="0" w:color="auto"/>
            <w:right w:val="none" w:sz="0" w:space="0" w:color="auto"/>
          </w:divBdr>
          <w:divsChild>
            <w:div w:id="7962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9757">
      <w:bodyDiv w:val="1"/>
      <w:marLeft w:val="0"/>
      <w:marRight w:val="0"/>
      <w:marTop w:val="0"/>
      <w:marBottom w:val="0"/>
      <w:divBdr>
        <w:top w:val="none" w:sz="0" w:space="0" w:color="auto"/>
        <w:left w:val="none" w:sz="0" w:space="0" w:color="auto"/>
        <w:bottom w:val="none" w:sz="0" w:space="0" w:color="auto"/>
        <w:right w:val="none" w:sz="0" w:space="0" w:color="auto"/>
      </w:divBdr>
      <w:divsChild>
        <w:div w:id="404911632">
          <w:marLeft w:val="0"/>
          <w:marRight w:val="0"/>
          <w:marTop w:val="240"/>
          <w:marBottom w:val="240"/>
          <w:divBdr>
            <w:top w:val="none" w:sz="0" w:space="0" w:color="auto"/>
            <w:left w:val="none" w:sz="0" w:space="0" w:color="auto"/>
            <w:bottom w:val="none" w:sz="0" w:space="0" w:color="auto"/>
            <w:right w:val="none" w:sz="0" w:space="0" w:color="auto"/>
          </w:divBdr>
          <w:divsChild>
            <w:div w:id="797917273">
              <w:marLeft w:val="0"/>
              <w:marRight w:val="180"/>
              <w:marTop w:val="0"/>
              <w:marBottom w:val="0"/>
              <w:divBdr>
                <w:top w:val="none" w:sz="0" w:space="0" w:color="auto"/>
                <w:left w:val="none" w:sz="0" w:space="0" w:color="auto"/>
                <w:bottom w:val="none" w:sz="0" w:space="0" w:color="auto"/>
                <w:right w:val="none" w:sz="0" w:space="0" w:color="auto"/>
              </w:divBdr>
            </w:div>
            <w:div w:id="1053624675">
              <w:marLeft w:val="0"/>
              <w:marRight w:val="120"/>
              <w:marTop w:val="0"/>
              <w:marBottom w:val="180"/>
              <w:divBdr>
                <w:top w:val="none" w:sz="0" w:space="0" w:color="auto"/>
                <w:left w:val="none" w:sz="0" w:space="0" w:color="auto"/>
                <w:bottom w:val="none" w:sz="0" w:space="0" w:color="auto"/>
                <w:right w:val="none" w:sz="0" w:space="0" w:color="auto"/>
              </w:divBdr>
            </w:div>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766">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 w:id="2078241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ateneo/concorsi/por-fse-2014-2020-asse-occupazione-percorsi-formativ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fcu.i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F17C09-5CB7-4678-9BFA-AF835DF3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1097</Words>
  <Characters>6254</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5</cp:revision>
  <cp:lastPrinted>2021-11-26T10:58:00Z</cp:lastPrinted>
  <dcterms:created xsi:type="dcterms:W3CDTF">2022-03-29T10:41:00Z</dcterms:created>
  <dcterms:modified xsi:type="dcterms:W3CDTF">2022-03-29T12:15:00Z</dcterms:modified>
</cp:coreProperties>
</file>