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>
        <w:rPr>
          <w:rFonts w:ascii="Verdana" w:hAnsi="Verdana" w:cs="Calibri"/>
          <w:b/>
          <w:bCs/>
          <w:color w:val="201F1E"/>
          <w:sz w:val="32"/>
          <w:szCs w:val="32"/>
          <w:bdr w:val="none" w:sz="0" w:space="0" w:color="auto" w:frame="1"/>
        </w:rPr>
        <w:t xml:space="preserve">UNIVERSITÀ DEGLI STUDI </w:t>
      </w:r>
      <w:proofErr w:type="spellStart"/>
      <w:r>
        <w:rPr>
          <w:rFonts w:ascii="Verdana" w:hAnsi="Verdana" w:cs="Calibri"/>
          <w:b/>
          <w:bCs/>
          <w:color w:val="201F1E"/>
          <w:sz w:val="32"/>
          <w:szCs w:val="32"/>
          <w:bdr w:val="none" w:sz="0" w:space="0" w:color="auto" w:frame="1"/>
        </w:rPr>
        <w:t>DI</w:t>
      </w:r>
      <w:proofErr w:type="spellEnd"/>
      <w:r>
        <w:rPr>
          <w:rFonts w:ascii="Verdana" w:hAnsi="Verdana" w:cs="Calibri"/>
          <w:b/>
          <w:bCs/>
          <w:color w:val="201F1E"/>
          <w:sz w:val="32"/>
          <w:szCs w:val="32"/>
          <w:bdr w:val="none" w:sz="0" w:space="0" w:color="auto" w:frame="1"/>
        </w:rPr>
        <w:t xml:space="preserve"> PERUGIA</w:t>
      </w:r>
      <w:r>
        <w:rPr>
          <w:rFonts w:ascii="Segoe UI" w:hAnsi="Segoe UI" w:cs="Segoe UI"/>
          <w:color w:val="201F1E"/>
          <w:sz w:val="21"/>
          <w:szCs w:val="21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bdr w:val="none" w:sz="0" w:space="0" w:color="auto" w:frame="1"/>
        </w:rPr>
        <w:t>  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>
        <w:rPr>
          <w:rFonts w:ascii="Work Sans" w:hAnsi="Work Sans" w:cs="Calibri"/>
          <w:b/>
          <w:bCs/>
          <w:color w:val="323130"/>
          <w:sz w:val="22"/>
          <w:szCs w:val="22"/>
          <w:bdr w:val="none" w:sz="0" w:space="0" w:color="auto" w:frame="1"/>
        </w:rPr>
        <w:t>    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Studio sul </w:t>
      </w:r>
      <w:proofErr w:type="spellStart"/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>microbiota</w:t>
      </w:r>
      <w:proofErr w:type="spellEnd"/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e sulla sua influenza su salute e malattia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201F1E"/>
        </w:rPr>
      </w:pPr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>Ottenuto finanziamento da gruppo di ricerca dell’Ateneo 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Work Sans" w:hAnsi="Work San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bdr w:val="none" w:sz="0" w:space="0" w:color="auto" w:frame="1"/>
        </w:rPr>
        <w:t>  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br/>
        <w:t>La Prof.ssa </w:t>
      </w:r>
      <w:r>
        <w:rPr>
          <w:b/>
          <w:bCs/>
          <w:color w:val="201F1E"/>
          <w:bdr w:val="none" w:sz="0" w:space="0" w:color="auto" w:frame="1"/>
        </w:rPr>
        <w:t>Luigina Romani</w:t>
      </w:r>
      <w:r>
        <w:rPr>
          <w:color w:val="201F1E"/>
          <w:bdr w:val="none" w:sz="0" w:space="0" w:color="auto" w:frame="1"/>
        </w:rPr>
        <w:t> e il Dott. </w:t>
      </w:r>
      <w:r>
        <w:rPr>
          <w:b/>
          <w:bCs/>
          <w:color w:val="201F1E"/>
          <w:bdr w:val="none" w:sz="0" w:space="0" w:color="auto" w:frame="1"/>
        </w:rPr>
        <w:t xml:space="preserve">Claudio </w:t>
      </w:r>
      <w:proofErr w:type="spellStart"/>
      <w:r>
        <w:rPr>
          <w:b/>
          <w:bCs/>
          <w:color w:val="201F1E"/>
          <w:bdr w:val="none" w:sz="0" w:space="0" w:color="auto" w:frame="1"/>
        </w:rPr>
        <w:t>Costantini</w:t>
      </w:r>
      <w:proofErr w:type="spellEnd"/>
      <w:r>
        <w:rPr>
          <w:color w:val="201F1E"/>
          <w:bdr w:val="none" w:sz="0" w:space="0" w:color="auto" w:frame="1"/>
        </w:rPr>
        <w:t xml:space="preserve"> del Dipartimento di Medicina e Chirurgia, Sezione di Patologia, dell’Università degli Studi di Perugia, hanno ottenuto un cospicuo finanziamento dalla </w:t>
      </w:r>
      <w:proofErr w:type="spellStart"/>
      <w:r>
        <w:rPr>
          <w:color w:val="201F1E"/>
          <w:bdr w:val="none" w:sz="0" w:space="0" w:color="auto" w:frame="1"/>
        </w:rPr>
        <w:t>Oxalosis</w:t>
      </w:r>
      <w:proofErr w:type="spellEnd"/>
      <w:r>
        <w:rPr>
          <w:color w:val="201F1E"/>
          <w:bdr w:val="none" w:sz="0" w:space="0" w:color="auto" w:frame="1"/>
        </w:rPr>
        <w:t xml:space="preserve"> and </w:t>
      </w:r>
      <w:proofErr w:type="spellStart"/>
      <w:r>
        <w:rPr>
          <w:color w:val="201F1E"/>
          <w:bdr w:val="none" w:sz="0" w:space="0" w:color="auto" w:frame="1"/>
        </w:rPr>
        <w:t>Hyperoxaluria</w:t>
      </w:r>
      <w:proofErr w:type="spellEnd"/>
      <w:r>
        <w:rPr>
          <w:color w:val="201F1E"/>
          <w:bdr w:val="none" w:sz="0" w:space="0" w:color="auto" w:frame="1"/>
        </w:rPr>
        <w:t xml:space="preserve"> </w:t>
      </w:r>
      <w:proofErr w:type="spellStart"/>
      <w:r>
        <w:rPr>
          <w:color w:val="201F1E"/>
          <w:bdr w:val="none" w:sz="0" w:space="0" w:color="auto" w:frame="1"/>
        </w:rPr>
        <w:t>Foundation</w:t>
      </w:r>
      <w:proofErr w:type="spellEnd"/>
      <w:r>
        <w:rPr>
          <w:color w:val="201F1E"/>
          <w:bdr w:val="none" w:sz="0" w:space="0" w:color="auto" w:frame="1"/>
        </w:rPr>
        <w:t xml:space="preserve"> (OHF) americana al fine di realizzare a un progetto scientifico</w:t>
      </w:r>
      <w:r>
        <w:rPr>
          <w:rFonts w:ascii="Calibri" w:hAnsi="Calibri" w:cs="Calibri"/>
          <w:color w:val="201F1E"/>
        </w:rPr>
        <w:t> </w:t>
      </w:r>
      <w:r>
        <w:rPr>
          <w:color w:val="201F1E"/>
          <w:bdr w:val="none" w:sz="0" w:space="0" w:color="auto" w:frame="1"/>
        </w:rPr>
        <w:t xml:space="preserve">che permetterà di decifrare il ruolo del </w:t>
      </w:r>
      <w:proofErr w:type="spellStart"/>
      <w:r>
        <w:rPr>
          <w:color w:val="201F1E"/>
          <w:bdr w:val="none" w:sz="0" w:space="0" w:color="auto" w:frame="1"/>
        </w:rPr>
        <w:t>microbiota</w:t>
      </w:r>
      <w:proofErr w:type="spellEnd"/>
      <w:r>
        <w:rPr>
          <w:color w:val="201F1E"/>
          <w:bdr w:val="none" w:sz="0" w:space="0" w:color="auto" w:frame="1"/>
        </w:rPr>
        <w:t xml:space="preserve"> intestinale ed il suo metabolismo nel contesto di malattie metaboliche, quali l'</w:t>
      </w:r>
      <w:proofErr w:type="spellStart"/>
      <w:r>
        <w:rPr>
          <w:color w:val="201F1E"/>
          <w:bdr w:val="none" w:sz="0" w:space="0" w:color="auto" w:frame="1"/>
        </w:rPr>
        <w:t>iperossaluria</w:t>
      </w:r>
      <w:proofErr w:type="spellEnd"/>
      <w:r>
        <w:rPr>
          <w:color w:val="201F1E"/>
          <w:bdr w:val="none" w:sz="0" w:space="0" w:color="auto" w:frame="1"/>
        </w:rPr>
        <w:t xml:space="preserve">, al fine di identificare nuovi fattori prognostici nonché terapie innovative basate, per l’appunto, sul </w:t>
      </w:r>
      <w:proofErr w:type="spellStart"/>
      <w:r>
        <w:rPr>
          <w:color w:val="201F1E"/>
          <w:bdr w:val="none" w:sz="0" w:space="0" w:color="auto" w:frame="1"/>
        </w:rPr>
        <w:t>microbiota</w:t>
      </w:r>
      <w:proofErr w:type="spellEnd"/>
      <w:r>
        <w:rPr>
          <w:color w:val="201F1E"/>
          <w:bdr w:val="none" w:sz="0" w:space="0" w:color="auto" w:frame="1"/>
        </w:rPr>
        <w:t>.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br/>
        <w:t xml:space="preserve">Si tratta, quindi, di un progetto che si inserisce nell’ambito di ricerca di cui si occupa da tempo il gruppo di ricercatori e ricercatrici perugini coordinato dalla Prof.ssa Romani e dedicato allo studio del </w:t>
      </w:r>
      <w:proofErr w:type="spellStart"/>
      <w:r>
        <w:rPr>
          <w:color w:val="201F1E"/>
          <w:bdr w:val="none" w:sz="0" w:space="0" w:color="auto" w:frame="1"/>
        </w:rPr>
        <w:t>microbiota</w:t>
      </w:r>
      <w:proofErr w:type="spellEnd"/>
      <w:r>
        <w:rPr>
          <w:color w:val="201F1E"/>
          <w:bdr w:val="none" w:sz="0" w:space="0" w:color="auto" w:frame="1"/>
        </w:rPr>
        <w:t xml:space="preserve"> e della sua influenza sulla salute e malattia umana.  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 xml:space="preserve">Il progetto potrà contare su un finanziamento di oltre 190 mila dollari, avrà la durata di due anni e vedrà la partecipazione, accanto al Dott. Claudio </w:t>
      </w:r>
      <w:proofErr w:type="spellStart"/>
      <w:r>
        <w:rPr>
          <w:color w:val="201F1E"/>
          <w:bdr w:val="none" w:sz="0" w:space="0" w:color="auto" w:frame="1"/>
        </w:rPr>
        <w:t>Costantini</w:t>
      </w:r>
      <w:proofErr w:type="spellEnd"/>
      <w:r>
        <w:rPr>
          <w:color w:val="201F1E"/>
          <w:bdr w:val="none" w:sz="0" w:space="0" w:color="auto" w:frame="1"/>
        </w:rPr>
        <w:t>, della Dott.ssa Emilia Nunzi, entrambi afferenti al Dipartimenti al Dipartimento di Medicina e Chirurgia dello </w:t>
      </w:r>
      <w:proofErr w:type="spellStart"/>
      <w:r>
        <w:rPr>
          <w:i/>
          <w:iCs/>
          <w:color w:val="201F1E"/>
          <w:bdr w:val="none" w:sz="0" w:space="0" w:color="auto" w:frame="1"/>
        </w:rPr>
        <w:t>Studium</w:t>
      </w:r>
      <w:proofErr w:type="spellEnd"/>
      <w:r>
        <w:rPr>
          <w:i/>
          <w:iCs/>
          <w:color w:val="201F1E"/>
          <w:bdr w:val="none" w:sz="0" w:space="0" w:color="auto" w:frame="1"/>
        </w:rPr>
        <w:t>,</w:t>
      </w:r>
      <w:r>
        <w:rPr>
          <w:color w:val="201F1E"/>
          <w:bdr w:val="none" w:sz="0" w:space="0" w:color="auto" w:frame="1"/>
        </w:rPr>
        <w:t> in collaborazione con centri di ricerca afferenti all'Università di Torino, all'Ospedale Gemelli di Roma, all'Ospedale Sant'Orsola di Bologna e al centro TIGEM di Napoli.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>  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Contatti per le redazioni, da non pubblicare</w:t>
      </w:r>
      <w:r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Prof.ssa Luigina Romani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hyperlink r:id="rId8" w:tgtFrame="_blank" w:history="1">
        <w:r>
          <w:rPr>
            <w:rStyle w:val="Collegamentoipertestuale"/>
            <w:bdr w:val="none" w:sz="0" w:space="0" w:color="auto" w:frame="1"/>
          </w:rPr>
          <w:t>luigina.romani@unipg.it</w:t>
        </w:r>
      </w:hyperlink>
      <w:r>
        <w:rPr>
          <w:color w:val="201F1E"/>
          <w:bdr w:val="none" w:sz="0" w:space="0" w:color="auto" w:frame="1"/>
        </w:rPr>
        <w:t>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 xml:space="preserve">Dott. Claudio </w:t>
      </w:r>
      <w:proofErr w:type="spellStart"/>
      <w:r>
        <w:rPr>
          <w:color w:val="201F1E"/>
          <w:bdr w:val="none" w:sz="0" w:space="0" w:color="auto" w:frame="1"/>
        </w:rPr>
        <w:t>Costantini</w:t>
      </w:r>
      <w:proofErr w:type="spellEnd"/>
      <w:r>
        <w:rPr>
          <w:color w:val="201F1E"/>
          <w:bdr w:val="none" w:sz="0" w:space="0" w:color="auto" w:frame="1"/>
        </w:rPr>
        <w:t> </w:t>
      </w:r>
    </w:p>
    <w:p w:rsidR="00F80CEB" w:rsidRDefault="00F80CEB" w:rsidP="00F80CEB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</w:rPr>
      </w:pPr>
      <w:hyperlink r:id="rId9" w:tgtFrame="_blank" w:history="1">
        <w:r>
          <w:rPr>
            <w:rStyle w:val="Collegamentoipertestuale"/>
            <w:bdr w:val="none" w:sz="0" w:space="0" w:color="auto" w:frame="1"/>
          </w:rPr>
          <w:t>claudio.costantini@unipg.it</w:t>
        </w:r>
      </w:hyperlink>
      <w:r>
        <w:rPr>
          <w:color w:val="201F1E"/>
          <w:bdr w:val="none" w:sz="0" w:space="0" w:color="auto" w:frame="1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F80CEB" w:rsidRDefault="00F80CEB" w:rsidP="00F80CEB">
      <w:pPr>
        <w:shd w:val="clear" w:color="auto" w:fill="FFFFFF"/>
        <w:spacing w:after="0" w:line="240" w:lineRule="auto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  <w:r w:rsidRPr="00F80CEB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Perugia, 21 marzo 2022</w:t>
      </w:r>
    </w:p>
    <w:sectPr w:rsidR="006A69CE" w:rsidRPr="00F80CEB" w:rsidSect="00E954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55" w:rsidRDefault="00993755" w:rsidP="005C2BD2">
      <w:r>
        <w:separator/>
      </w:r>
    </w:p>
  </w:endnote>
  <w:endnote w:type="continuationSeparator" w:id="0">
    <w:p w:rsidR="00993755" w:rsidRDefault="00993755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proofErr w:type="spellStart"/>
          <w:r>
            <w:rPr>
              <w:rFonts w:ascii="Verdana" w:hAnsi="Verdana"/>
              <w:sz w:val="12"/>
              <w:szCs w:val="12"/>
            </w:rPr>
            <w:t>Zefferino</w:t>
          </w:r>
          <w:proofErr w:type="spellEnd"/>
          <w:r>
            <w:rPr>
              <w:rFonts w:ascii="Verdana" w:hAnsi="Verdana"/>
              <w:sz w:val="12"/>
              <w:szCs w:val="12"/>
            </w:rPr>
            <w:t xml:space="preserve">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55" w:rsidRDefault="00993755" w:rsidP="005C2BD2">
      <w:r>
        <w:separator/>
      </w:r>
    </w:p>
  </w:footnote>
  <w:footnote w:type="continuationSeparator" w:id="0">
    <w:p w:rsidR="00993755" w:rsidRDefault="00993755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121A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121A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121A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6739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1316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0FB6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1C78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336A8"/>
    <w:rsid w:val="006407BA"/>
    <w:rsid w:val="00641042"/>
    <w:rsid w:val="00647FCF"/>
    <w:rsid w:val="00654B7E"/>
    <w:rsid w:val="00675329"/>
    <w:rsid w:val="006816EF"/>
    <w:rsid w:val="006831AA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121A4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E44BB"/>
    <w:rsid w:val="007F040D"/>
    <w:rsid w:val="007F4861"/>
    <w:rsid w:val="0080048D"/>
    <w:rsid w:val="0080165C"/>
    <w:rsid w:val="00801CEF"/>
    <w:rsid w:val="00802B52"/>
    <w:rsid w:val="00804B31"/>
    <w:rsid w:val="008063B6"/>
    <w:rsid w:val="008079E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0A4B"/>
    <w:rsid w:val="008B49C1"/>
    <w:rsid w:val="008B4FF6"/>
    <w:rsid w:val="008B5260"/>
    <w:rsid w:val="008C04C1"/>
    <w:rsid w:val="008C5F63"/>
    <w:rsid w:val="008C6034"/>
    <w:rsid w:val="008D1A38"/>
    <w:rsid w:val="008D3BE7"/>
    <w:rsid w:val="008E6C7C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3755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490A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2C2A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27C6D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378E"/>
    <w:rsid w:val="00E17CFD"/>
    <w:rsid w:val="00E22524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6D1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522E"/>
    <w:rsid w:val="00F662BD"/>
    <w:rsid w:val="00F6676A"/>
    <w:rsid w:val="00F66C38"/>
    <w:rsid w:val="00F77B84"/>
    <w:rsid w:val="00F80CEB"/>
    <w:rsid w:val="00F82C74"/>
    <w:rsid w:val="00F958DC"/>
    <w:rsid w:val="00FA4A24"/>
    <w:rsid w:val="00FB15D6"/>
    <w:rsid w:val="00FB5209"/>
    <w:rsid w:val="00FC194B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atterepredefinitoparagrafo"/>
    <w:rsid w:val="00CD2401"/>
    <w:rPr>
      <w:sz w:val="19"/>
      <w:szCs w:val="19"/>
    </w:rPr>
  </w:style>
  <w:style w:type="character" w:styleId="Enfasigrassetto">
    <w:name w:val="Strong"/>
    <w:basedOn w:val="Carattere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attere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attere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attere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attere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atterepredefinitoparagrafo"/>
    <w:rsid w:val="006B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na.romani@unipg.it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laudio.costantini@unip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7C3B-BF4A-416F-852A-81F6C888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2022-03-23T07:11:00Z</dcterms:created>
  <dcterms:modified xsi:type="dcterms:W3CDTF">2022-03-23T07:11:00Z</dcterms:modified>
</cp:coreProperties>
</file>