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>
        <w:rPr>
          <w:rFonts w:ascii="inherit" w:hAnsi="inherit"/>
          <w:color w:val="201F1E"/>
          <w:sz w:val="36"/>
          <w:szCs w:val="36"/>
          <w:bdr w:val="none" w:sz="0" w:space="0" w:color="auto" w:frame="1"/>
        </w:rPr>
        <w:t> </w:t>
      </w:r>
    </w:p>
    <w:p w:rsidR="00593C72" w:rsidRPr="00B437B1" w:rsidRDefault="00593C72" w:rsidP="00593C72">
      <w:pPr>
        <w:shd w:val="clear" w:color="auto" w:fill="FFFFFF"/>
        <w:spacing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 w:rsidRPr="00B437B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Aperte </w:t>
      </w:r>
      <w:r w:rsidR="006F21D5" w:rsidRPr="00B437B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sino al 28 aprile </w:t>
      </w:r>
      <w:r w:rsidRPr="00B437B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le iscrizioni</w:t>
      </w:r>
      <w:r w:rsidR="006F21D5" w:rsidRPr="00B437B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</w:p>
    <w:p w:rsidR="00593C72" w:rsidRPr="00B437B1" w:rsidRDefault="006F21D5" w:rsidP="00593C72">
      <w:pPr>
        <w:shd w:val="clear" w:color="auto" w:fill="FFFFFF"/>
        <w:spacing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  <w:r w:rsidRPr="00B437B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alla Scuola di Specializzazione in Beni Storico Artistici con sede a Gubbio</w:t>
      </w:r>
    </w:p>
    <w:p w:rsidR="00593C72" w:rsidRPr="00B437B1" w:rsidRDefault="00593C72" w:rsidP="00593C72">
      <w:pPr>
        <w:shd w:val="clear" w:color="auto" w:fill="FFFFFF"/>
        <w:spacing w:line="276" w:lineRule="atLeast"/>
        <w:jc w:val="center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</w:p>
    <w:p w:rsidR="000B2B40" w:rsidRDefault="000B2B40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</w:p>
    <w:p w:rsidR="006F21D5" w:rsidRPr="00B437B1" w:rsidRDefault="006F21D5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</w:rPr>
      </w:pPr>
      <w:r w:rsidRPr="00B437B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Sono aperti termini per la presentazione delle domande </w:t>
      </w:r>
      <w:r w:rsidR="00BA7B09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de</w:t>
      </w:r>
      <w:r w:rsidRPr="00B437B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 concorso per l'ammissione alla Scuola di Specializzazione in Beni Storico Artistici</w:t>
      </w:r>
      <w:r w:rsid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con sede in Gubbio,</w:t>
      </w:r>
      <w:r w:rsidRPr="00B437B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per</w:t>
      </w:r>
      <w:r w:rsid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r w:rsidRPr="00B437B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l’anno accademico 2021/2022; dovranno pervenire entro il </w:t>
      </w:r>
      <w:r w:rsidRPr="00BA7B09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28 aprile 2022</w:t>
      </w:r>
      <w:r w:rsidR="00BA7B09" w:rsidRPr="00BA7B09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</w:t>
      </w:r>
      <w:r w:rsidRPr="00BA7B09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potranno essere ammessi alla Scuola un numero massimo di</w:t>
      </w:r>
      <w:r w:rsidRPr="00B437B1">
        <w:rPr>
          <w:rFonts w:ascii="Work Sans" w:hAnsi="Work Sans"/>
          <w:sz w:val="22"/>
          <w:szCs w:val="22"/>
        </w:rPr>
        <w:t xml:space="preserve"> 30 </w:t>
      </w:r>
      <w:r w:rsidRPr="000B2B40">
        <w:rPr>
          <w:rFonts w:ascii="Work Sans" w:hAnsi="Work Sans"/>
          <w:sz w:val="22"/>
          <w:szCs w:val="22"/>
        </w:rPr>
        <w:t>candidat</w:t>
      </w:r>
      <w:r w:rsidR="000B2B40">
        <w:rPr>
          <w:rFonts w:ascii="Work Sans" w:hAnsi="Work Sans"/>
          <w:sz w:val="22"/>
          <w:szCs w:val="22"/>
        </w:rPr>
        <w:t>i.</w:t>
      </w:r>
    </w:p>
    <w:p w:rsidR="00BA7B09" w:rsidRDefault="00BA7B09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</w:p>
    <w:p w:rsidR="000B2B40" w:rsidRDefault="006F21D5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 w:rsidRPr="00B437B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Il bando, con le modalità e il modulo per inoltrare la domanda, è consultabile </w:t>
      </w:r>
      <w:r w:rsid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agli indirizzi</w:t>
      </w:r>
      <w:r w:rsidR="00C907B7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internet</w:t>
      </w:r>
      <w:proofErr w:type="spellEnd"/>
      <w:r w:rsid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:</w:t>
      </w:r>
    </w:p>
    <w:p w:rsidR="000B2B40" w:rsidRPr="00C907B7" w:rsidRDefault="00AF1752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hyperlink r:id="rId8" w:history="1">
        <w:r w:rsidR="000B2B40" w:rsidRPr="00C907B7"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www.benistoricoartistici.unipg.it</w:t>
        </w:r>
      </w:hyperlink>
    </w:p>
    <w:p w:rsidR="006F21D5" w:rsidRPr="00C907B7" w:rsidRDefault="00AF1752" w:rsidP="00593C72">
      <w:pPr>
        <w:shd w:val="clear" w:color="auto" w:fill="FFFFFF"/>
        <w:spacing w:line="276" w:lineRule="atLeast"/>
        <w:rPr>
          <w:rFonts w:ascii="Work Sans" w:hAnsi="Work Sans"/>
        </w:rPr>
      </w:pPr>
      <w:hyperlink r:id="rId9" w:history="1">
        <w:r w:rsidR="00C907B7" w:rsidRPr="00C907B7">
          <w:rPr>
            <w:rStyle w:val="Collegamentoipertestuale"/>
            <w:rFonts w:ascii="Work Sans" w:hAnsi="Work Sans"/>
          </w:rPr>
          <w:t>https://u.garr.it/JYt45</w:t>
        </w:r>
      </w:hyperlink>
    </w:p>
    <w:p w:rsidR="00C907B7" w:rsidRPr="00B437B1" w:rsidRDefault="00C907B7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</w:rPr>
      </w:pPr>
    </w:p>
    <w:p w:rsidR="00593C72" w:rsidRPr="000B2B40" w:rsidRDefault="00593C72" w:rsidP="00593C72">
      <w:pPr>
        <w:shd w:val="clear" w:color="auto" w:fill="FFFFFF"/>
        <w:spacing w:line="276" w:lineRule="atLeast"/>
        <w:rPr>
          <w:rFonts w:ascii="Work Sans" w:hAnsi="Work Sans"/>
          <w:sz w:val="22"/>
          <w:szCs w:val="22"/>
        </w:rPr>
      </w:pPr>
      <w:r w:rsidRP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“</w:t>
      </w:r>
      <w:r w:rsidRPr="000B2B40">
        <w:rPr>
          <w:rFonts w:ascii="Work Sans" w:hAnsi="Work Sans"/>
          <w:color w:val="191919"/>
          <w:sz w:val="22"/>
          <w:szCs w:val="22"/>
        </w:rPr>
        <w:t>La Scuola si propone di formare specialisti con uno specifico profilo professionale nel settore della</w:t>
      </w:r>
      <w:r w:rsidRPr="000B2B40">
        <w:rPr>
          <w:rStyle w:val="Enfasigrassetto"/>
          <w:rFonts w:ascii="Work Sans" w:hAnsi="Work Sans"/>
          <w:color w:val="191919"/>
          <w:sz w:val="22"/>
          <w:szCs w:val="22"/>
        </w:rPr>
        <w:t> </w:t>
      </w:r>
      <w:r w:rsidRPr="000B2B40">
        <w:rPr>
          <w:rStyle w:val="Enfasigrassetto"/>
          <w:rFonts w:ascii="Work Sans" w:hAnsi="Work Sans"/>
          <w:b w:val="0"/>
          <w:color w:val="191919"/>
          <w:sz w:val="22"/>
          <w:szCs w:val="22"/>
        </w:rPr>
        <w:t>tutela, gestione e valorizzazione del patrimonio storico-artistico</w:t>
      </w:r>
      <w:r w:rsidRPr="000B2B40">
        <w:rPr>
          <w:rStyle w:val="Enfasigrassetto"/>
          <w:rFonts w:ascii="Work Sans" w:hAnsi="Work Sans"/>
          <w:color w:val="191919"/>
          <w:sz w:val="22"/>
          <w:szCs w:val="22"/>
        </w:rPr>
        <w:t xml:space="preserve"> </w:t>
      </w:r>
      <w:r w:rsidRP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– spiega il direttore, la professoressa </w:t>
      </w:r>
      <w:r w:rsidRPr="007E713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Cristina </w:t>
      </w:r>
      <w:proofErr w:type="spellStart"/>
      <w:r w:rsidRPr="007E713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Galassi</w:t>
      </w:r>
      <w:proofErr w:type="spellEnd"/>
      <w:r w:rsidRPr="000B2B40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-.</w:t>
      </w:r>
      <w:r w:rsidRPr="000B2B40">
        <w:rPr>
          <w:rFonts w:ascii="Work Sans" w:hAnsi="Work Sans"/>
          <w:sz w:val="22"/>
          <w:szCs w:val="22"/>
        </w:rPr>
        <w:t xml:space="preserve">  </w:t>
      </w:r>
      <w:r w:rsidRPr="000B2B40">
        <w:rPr>
          <w:rFonts w:ascii="Work Sans" w:hAnsi="Work Sans"/>
          <w:color w:val="191919"/>
          <w:sz w:val="22"/>
          <w:szCs w:val="22"/>
        </w:rPr>
        <w:t>La fisionomia storica e culturale di Gubbio ha alimentato l’idea di allacciare una collaborazione tra la Scuola e gli atenei delle regioni con</w:t>
      </w:r>
      <w:r w:rsidRPr="000B2B40">
        <w:rPr>
          <w:rFonts w:ascii="Work Sans" w:hAnsi="Work Sans"/>
          <w:color w:val="000000"/>
          <w:sz w:val="22"/>
          <w:szCs w:val="22"/>
        </w:rPr>
        <w:t>termini, </w:t>
      </w:r>
      <w:r w:rsidRPr="000B2B40">
        <w:rPr>
          <w:rStyle w:val="Enfasigrassetto"/>
          <w:rFonts w:ascii="Work Sans" w:hAnsi="Work Sans"/>
          <w:b w:val="0"/>
          <w:color w:val="000000"/>
          <w:sz w:val="22"/>
          <w:szCs w:val="22"/>
        </w:rPr>
        <w:t>Marche, Abruzzo e Molise</w:t>
      </w:r>
      <w:r w:rsidRPr="000B2B40">
        <w:rPr>
          <w:rFonts w:ascii="Work Sans" w:hAnsi="Work Sans"/>
          <w:color w:val="000000"/>
          <w:sz w:val="22"/>
          <w:szCs w:val="22"/>
        </w:rPr>
        <w:t>. Questo</w:t>
      </w:r>
      <w:r w:rsidRPr="000B2B40">
        <w:rPr>
          <w:rFonts w:ascii="Work Sans" w:hAnsi="Work Sans"/>
          <w:color w:val="191919"/>
          <w:sz w:val="22"/>
          <w:szCs w:val="22"/>
        </w:rPr>
        <w:t> protocollo d’intesa, che ha permesso di qualificare ulteriormente l’offerta didattica e di docenza della Scuola, è stato siglato tra la Scuola e gli atenei di</w:t>
      </w:r>
      <w:r w:rsidRPr="000B2B40">
        <w:rPr>
          <w:rStyle w:val="Enfasigrassetto"/>
          <w:rFonts w:ascii="Work Sans" w:hAnsi="Work Sans"/>
          <w:color w:val="191919"/>
          <w:sz w:val="22"/>
          <w:szCs w:val="22"/>
        </w:rPr>
        <w:t> </w:t>
      </w:r>
      <w:r w:rsidRPr="000B2B40">
        <w:rPr>
          <w:rStyle w:val="Enfasigrassetto"/>
          <w:rFonts w:ascii="Work Sans" w:hAnsi="Work Sans"/>
          <w:b w:val="0"/>
          <w:color w:val="191919"/>
          <w:sz w:val="22"/>
          <w:szCs w:val="22"/>
        </w:rPr>
        <w:t>Urbino, Teramo, L’Aquila, Chieti-Pescara</w:t>
      </w:r>
      <w:r w:rsidRPr="000B2B40">
        <w:rPr>
          <w:rFonts w:ascii="Work Sans" w:hAnsi="Work Sans"/>
          <w:b/>
          <w:color w:val="191919"/>
          <w:sz w:val="22"/>
          <w:szCs w:val="22"/>
        </w:rPr>
        <w:t xml:space="preserve">, </w:t>
      </w:r>
      <w:r w:rsidRPr="000B2B40">
        <w:rPr>
          <w:rFonts w:ascii="Work Sans" w:hAnsi="Work Sans"/>
          <w:color w:val="191919"/>
          <w:sz w:val="22"/>
          <w:szCs w:val="22"/>
        </w:rPr>
        <w:t>e del</w:t>
      </w:r>
      <w:r w:rsidRPr="000B2B40">
        <w:rPr>
          <w:rStyle w:val="Enfasigrassetto"/>
          <w:rFonts w:ascii="Work Sans" w:hAnsi="Work Sans"/>
          <w:color w:val="191919"/>
          <w:sz w:val="22"/>
          <w:szCs w:val="22"/>
        </w:rPr>
        <w:t> </w:t>
      </w:r>
      <w:r w:rsidRPr="000B2B40">
        <w:rPr>
          <w:rStyle w:val="Enfasigrassetto"/>
          <w:rFonts w:ascii="Work Sans" w:hAnsi="Work Sans"/>
          <w:b w:val="0"/>
          <w:color w:val="191919"/>
          <w:sz w:val="22"/>
          <w:szCs w:val="22"/>
        </w:rPr>
        <w:t>Molise</w:t>
      </w:r>
      <w:r w:rsidRPr="000B2B40">
        <w:rPr>
          <w:rFonts w:ascii="Work Sans" w:hAnsi="Work Sans"/>
          <w:color w:val="191919"/>
          <w:sz w:val="22"/>
          <w:szCs w:val="22"/>
        </w:rPr>
        <w:t xml:space="preserve">, ai quali si sono aggiunti gli atenei di Milano </w:t>
      </w:r>
      <w:r w:rsidR="00B437B1" w:rsidRPr="000B2B40">
        <w:rPr>
          <w:rFonts w:ascii="Work Sans" w:hAnsi="Work Sans"/>
          <w:color w:val="191919"/>
          <w:sz w:val="22"/>
          <w:szCs w:val="22"/>
        </w:rPr>
        <w:t xml:space="preserve">IULM, Parma, Salerno, Tuscia, Basilicata e Calabria. </w:t>
      </w:r>
      <w:r w:rsidR="00B437B1" w:rsidRPr="000B2B40">
        <w:rPr>
          <w:rFonts w:ascii="Work Sans" w:hAnsi="Work Sans"/>
          <w:sz w:val="22"/>
          <w:szCs w:val="22"/>
        </w:rPr>
        <w:t>L’offerta didattico-formativa è resa particolarmente incisiva dal contributo di soprintendenti, direttori di Musei e Gallerie, figure apicali del Ministero dei Beni e delle Attività Culturali, esperti di alto profilo nel settore della legislazione dei beni culturali”.</w:t>
      </w:r>
    </w:p>
    <w:p w:rsidR="00B437B1" w:rsidRPr="00B437B1" w:rsidRDefault="00B437B1" w:rsidP="00593C72">
      <w:pPr>
        <w:shd w:val="clear" w:color="auto" w:fill="FFFFFF"/>
        <w:spacing w:line="276" w:lineRule="atLeast"/>
        <w:rPr>
          <w:rFonts w:ascii="Work Sans" w:hAnsi="Work Sans"/>
          <w:sz w:val="22"/>
          <w:szCs w:val="22"/>
        </w:rPr>
      </w:pPr>
    </w:p>
    <w:p w:rsidR="006F21D5" w:rsidRPr="00B437B1" w:rsidRDefault="006F21D5" w:rsidP="00593C72">
      <w:pPr>
        <w:shd w:val="clear" w:color="auto" w:fill="FFFFFF"/>
        <w:spacing w:line="276" w:lineRule="atLeast"/>
        <w:rPr>
          <w:rFonts w:ascii="Work Sans" w:hAnsi="Work Sans"/>
          <w:color w:val="000000"/>
          <w:sz w:val="22"/>
          <w:szCs w:val="22"/>
          <w:bdr w:val="none" w:sz="0" w:space="0" w:color="auto" w:frame="1"/>
        </w:rPr>
      </w:pPr>
      <w:r w:rsidRPr="00B437B1">
        <w:rPr>
          <w:rFonts w:ascii="Work Sans" w:hAnsi="Work Sans"/>
          <w:sz w:val="22"/>
          <w:szCs w:val="22"/>
        </w:rPr>
        <w:t>La durata del corso è di due anni. Lo specializzando è tenuto a seguire nel corso del biennio 420 ore complessive fra didattica, esercitazioni e laboratori, articolate in unità disciplinari. La frequenza delle lezioni, esercitazioni, conferenze, nonché la partecipazione alle attività pratiche guidate dalla scuola è obbligatoria. Le eventuali assenze vanno giustificate. In ogni caso non possono superare il 25% del monte ore complessivo. Le attività pratiche guidate consistono nei tirocini, escursioni didattiche e stage mediante stipula di convenzioni con il Ministero dei beni e delle attività culturali e del turismo e con Istituzioni pubbliche e private di particolare qualificazione, programmati e organizzati dalla scuola d’intesa con le autorità competenti. Esse sono coordinate da uno o più docenti della Scuola.</w:t>
      </w:r>
      <w:r w:rsidRPr="00B437B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</w:t>
      </w:r>
    </w:p>
    <w:p w:rsidR="006F21D5" w:rsidRDefault="006F21D5" w:rsidP="006F21D5">
      <w:pPr>
        <w:shd w:val="clear" w:color="auto" w:fill="FFFFFF"/>
        <w:spacing w:line="276" w:lineRule="atLeast"/>
        <w:rPr>
          <w:rFonts w:ascii="Verdana" w:hAnsi="Verdana"/>
          <w:color w:val="000000"/>
          <w:sz w:val="20"/>
          <w:szCs w:val="20"/>
          <w:bdr w:val="none" w:sz="0" w:space="0" w:color="auto" w:frame="1"/>
        </w:rPr>
      </w:pPr>
    </w:p>
    <w:p w:rsidR="000B2B40" w:rsidRDefault="000B2B40" w:rsidP="006F21D5">
      <w:pPr>
        <w:shd w:val="clear" w:color="auto" w:fill="FFFFFF"/>
        <w:spacing w:line="276" w:lineRule="atLeast"/>
        <w:rPr>
          <w:rFonts w:ascii="Verdana" w:hAnsi="Verdana"/>
          <w:color w:val="000000"/>
          <w:sz w:val="20"/>
          <w:szCs w:val="20"/>
          <w:bdr w:val="none" w:sz="0" w:space="0" w:color="auto" w:frame="1"/>
        </w:rPr>
      </w:pPr>
    </w:p>
    <w:p w:rsidR="006F21D5" w:rsidRPr="00797A1B" w:rsidRDefault="00B437B1" w:rsidP="00C907B7">
      <w:pPr>
        <w:shd w:val="clear" w:color="auto" w:fill="FFFFFF"/>
        <w:spacing w:line="276" w:lineRule="atLeast"/>
        <w:rPr>
          <w:szCs w:val="22"/>
        </w:rPr>
      </w:pPr>
      <w:r w:rsidRPr="00B437B1">
        <w:rPr>
          <w:rFonts w:ascii="Work Sans" w:hAnsi="Work Sans"/>
          <w:b/>
          <w:sz w:val="22"/>
          <w:szCs w:val="22"/>
        </w:rPr>
        <w:t>Perugia, </w:t>
      </w:r>
      <w:bookmarkStart w:id="0" w:name="_GoBack"/>
      <w:bookmarkEnd w:id="0"/>
      <w:r w:rsidR="00C907B7">
        <w:rPr>
          <w:rFonts w:ascii="Work Sans" w:hAnsi="Work Sans"/>
          <w:b/>
          <w:sz w:val="22"/>
          <w:szCs w:val="22"/>
        </w:rPr>
        <w:t xml:space="preserve">8 </w:t>
      </w:r>
      <w:r w:rsidR="00314A6A">
        <w:rPr>
          <w:rFonts w:ascii="Work Sans" w:hAnsi="Work Sans"/>
          <w:b/>
          <w:sz w:val="22"/>
          <w:szCs w:val="22"/>
        </w:rPr>
        <w:t>aprile</w:t>
      </w:r>
      <w:r w:rsidRPr="00B437B1">
        <w:rPr>
          <w:rFonts w:ascii="Work Sans" w:hAnsi="Work Sans"/>
          <w:b/>
          <w:sz w:val="22"/>
          <w:szCs w:val="22"/>
        </w:rPr>
        <w:t xml:space="preserve"> 202</w:t>
      </w:r>
      <w:r w:rsidR="00314A6A">
        <w:rPr>
          <w:rFonts w:ascii="Work Sans" w:hAnsi="Work Sans"/>
          <w:b/>
          <w:sz w:val="22"/>
          <w:szCs w:val="22"/>
        </w:rPr>
        <w:t>2</w:t>
      </w:r>
    </w:p>
    <w:sectPr w:rsidR="006F21D5" w:rsidRPr="00797A1B" w:rsidSect="00A971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1752" w:rsidRDefault="00AF1752" w:rsidP="00A97116">
      <w:r>
        <w:separator/>
      </w:r>
    </w:p>
  </w:endnote>
  <w:endnote w:type="continuationSeparator" w:id="0">
    <w:p w:rsidR="00AF1752" w:rsidRDefault="00AF1752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3839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1752" w:rsidRDefault="00AF1752" w:rsidP="00A97116">
      <w:r>
        <w:separator/>
      </w:r>
    </w:p>
  </w:footnote>
  <w:footnote w:type="continuationSeparator" w:id="0">
    <w:p w:rsidR="00AF1752" w:rsidRDefault="00AF1752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F17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F17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F17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03465"/>
    <w:rsid w:val="00032195"/>
    <w:rsid w:val="0003705E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2B40"/>
    <w:rsid w:val="000B64BF"/>
    <w:rsid w:val="000B7497"/>
    <w:rsid w:val="000C6D08"/>
    <w:rsid w:val="000D7C00"/>
    <w:rsid w:val="001029A5"/>
    <w:rsid w:val="00103C0C"/>
    <w:rsid w:val="001127B2"/>
    <w:rsid w:val="0012138C"/>
    <w:rsid w:val="001411EB"/>
    <w:rsid w:val="00144CBA"/>
    <w:rsid w:val="001572BD"/>
    <w:rsid w:val="00167B0C"/>
    <w:rsid w:val="00176A81"/>
    <w:rsid w:val="001842B2"/>
    <w:rsid w:val="00184583"/>
    <w:rsid w:val="00195FD6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2DF0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14A6A"/>
    <w:rsid w:val="003163BE"/>
    <w:rsid w:val="00346C1F"/>
    <w:rsid w:val="00371E4B"/>
    <w:rsid w:val="00372829"/>
    <w:rsid w:val="00381E62"/>
    <w:rsid w:val="003839C2"/>
    <w:rsid w:val="003A2A3E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3162"/>
    <w:rsid w:val="00555F10"/>
    <w:rsid w:val="00577169"/>
    <w:rsid w:val="005921CB"/>
    <w:rsid w:val="00593C72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06263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E3238"/>
    <w:rsid w:val="006F21D5"/>
    <w:rsid w:val="006F5E39"/>
    <w:rsid w:val="007128CE"/>
    <w:rsid w:val="00714F7C"/>
    <w:rsid w:val="00743734"/>
    <w:rsid w:val="00752EF6"/>
    <w:rsid w:val="0076792F"/>
    <w:rsid w:val="00780492"/>
    <w:rsid w:val="007959A3"/>
    <w:rsid w:val="007959EE"/>
    <w:rsid w:val="00797A1B"/>
    <w:rsid w:val="007A6142"/>
    <w:rsid w:val="007B388C"/>
    <w:rsid w:val="007B4459"/>
    <w:rsid w:val="007C0BBA"/>
    <w:rsid w:val="007C14E0"/>
    <w:rsid w:val="007D2872"/>
    <w:rsid w:val="007D507B"/>
    <w:rsid w:val="007E5881"/>
    <w:rsid w:val="007E7130"/>
    <w:rsid w:val="007F75C3"/>
    <w:rsid w:val="00800E7C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0907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7047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B2C72"/>
    <w:rsid w:val="00AC6EA7"/>
    <w:rsid w:val="00AE4740"/>
    <w:rsid w:val="00AF1752"/>
    <w:rsid w:val="00AF4C27"/>
    <w:rsid w:val="00AF5B7C"/>
    <w:rsid w:val="00AF7F68"/>
    <w:rsid w:val="00B24466"/>
    <w:rsid w:val="00B30013"/>
    <w:rsid w:val="00B36F54"/>
    <w:rsid w:val="00B437B1"/>
    <w:rsid w:val="00B614BC"/>
    <w:rsid w:val="00B8408A"/>
    <w:rsid w:val="00B86C36"/>
    <w:rsid w:val="00B94477"/>
    <w:rsid w:val="00BA011A"/>
    <w:rsid w:val="00BA421D"/>
    <w:rsid w:val="00BA74FE"/>
    <w:rsid w:val="00BA7B09"/>
    <w:rsid w:val="00BC68CC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907B7"/>
    <w:rsid w:val="00CA65A5"/>
    <w:rsid w:val="00CB4C0F"/>
    <w:rsid w:val="00CD2D1F"/>
    <w:rsid w:val="00CE5BCD"/>
    <w:rsid w:val="00D13F37"/>
    <w:rsid w:val="00D42FF8"/>
    <w:rsid w:val="00D463B9"/>
    <w:rsid w:val="00D47055"/>
    <w:rsid w:val="00D52651"/>
    <w:rsid w:val="00D67DF4"/>
    <w:rsid w:val="00D75D3B"/>
    <w:rsid w:val="00D76246"/>
    <w:rsid w:val="00D95745"/>
    <w:rsid w:val="00DD1156"/>
    <w:rsid w:val="00DD355E"/>
    <w:rsid w:val="00E14ECE"/>
    <w:rsid w:val="00E245E9"/>
    <w:rsid w:val="00E25E8E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7053"/>
    <w:rsid w:val="00F04496"/>
    <w:rsid w:val="00F074BC"/>
    <w:rsid w:val="00F10169"/>
    <w:rsid w:val="00F149C8"/>
    <w:rsid w:val="00F26E52"/>
    <w:rsid w:val="00F33A51"/>
    <w:rsid w:val="00F379B8"/>
    <w:rsid w:val="00F71F1A"/>
    <w:rsid w:val="00F7764A"/>
    <w:rsid w:val="00F83D1C"/>
    <w:rsid w:val="00F90C6B"/>
    <w:rsid w:val="00F92026"/>
    <w:rsid w:val="00FA5D01"/>
    <w:rsid w:val="00FA799E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2F44234-FDD5-4829-BAA0-23C24128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2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4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17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645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547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nistoricoartistici.unipg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.garr.it/JYt45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1BCC9D0-6233-4ADA-BFA5-90F07C09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2021-11-26T10:58:00Z</cp:lastPrinted>
  <dcterms:created xsi:type="dcterms:W3CDTF">2022-04-08T11:03:00Z</dcterms:created>
  <dcterms:modified xsi:type="dcterms:W3CDTF">2022-04-08T11:03:00Z</dcterms:modified>
</cp:coreProperties>
</file>