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bookmarkStart w:id="0" w:name="_GoBack"/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0A709A" w:rsidRDefault="000A709A" w:rsidP="000A709A">
      <w:pPr>
        <w:jc w:val="center"/>
        <w:rPr>
          <w:rFonts w:ascii="Work Sans" w:hAnsi="Work Sans"/>
          <w:b/>
          <w:sz w:val="22"/>
          <w:szCs w:val="22"/>
        </w:rPr>
      </w:pPr>
    </w:p>
    <w:p w:rsidR="00A24AC6" w:rsidRPr="00DA66C5" w:rsidRDefault="00A24AC6" w:rsidP="004B0087">
      <w:pPr>
        <w:spacing w:after="0" w:line="240" w:lineRule="auto"/>
        <w:jc w:val="center"/>
        <w:rPr>
          <w:rFonts w:ascii="Work Sans" w:hAnsi="Work Sans"/>
          <w:b/>
          <w:bCs/>
        </w:rPr>
      </w:pPr>
      <w:r w:rsidRPr="00A24AC6">
        <w:rPr>
          <w:rFonts w:ascii="Work Sans" w:hAnsi="Work Sans"/>
          <w:b/>
          <w:bCs/>
          <w:sz w:val="22"/>
          <w:szCs w:val="22"/>
        </w:rPr>
        <w:t>Università degli Studi di Perugia e Regione Umbria confermano il contributo per l’accesso agli studi universitari – Il Rettore Oliviero: “Il diritto allo studio per i nostri giovani è garanzia di un futuro migliore e più giusto”</w:t>
      </w:r>
    </w:p>
    <w:p w:rsidR="004B0087" w:rsidRDefault="004B0087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4B0087" w:rsidRDefault="004B0087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A24AC6" w:rsidRDefault="00A24AC6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24AC6">
        <w:rPr>
          <w:rFonts w:ascii="Work Sans" w:hAnsi="Work Sans"/>
          <w:sz w:val="22"/>
          <w:szCs w:val="22"/>
        </w:rPr>
        <w:t xml:space="preserve">Confermato stamane l’accordo tra </w:t>
      </w:r>
      <w:r w:rsidRPr="00A24AC6">
        <w:rPr>
          <w:rFonts w:ascii="Work Sans" w:hAnsi="Work Sans"/>
          <w:b/>
          <w:sz w:val="22"/>
          <w:szCs w:val="22"/>
        </w:rPr>
        <w:t>Università degli Studi di Perugia</w:t>
      </w:r>
      <w:r w:rsidRPr="00A24AC6">
        <w:rPr>
          <w:rFonts w:ascii="Work Sans" w:hAnsi="Work Sans"/>
          <w:sz w:val="22"/>
          <w:szCs w:val="22"/>
        </w:rPr>
        <w:t xml:space="preserve"> e </w:t>
      </w:r>
      <w:r w:rsidRPr="00A24AC6">
        <w:rPr>
          <w:rFonts w:ascii="Work Sans" w:hAnsi="Work Sans"/>
          <w:b/>
          <w:sz w:val="22"/>
          <w:szCs w:val="22"/>
        </w:rPr>
        <w:t>Regione Umbria</w:t>
      </w:r>
      <w:r w:rsidRPr="00A24AC6">
        <w:rPr>
          <w:rFonts w:ascii="Work Sans" w:hAnsi="Work Sans"/>
          <w:sz w:val="22"/>
          <w:szCs w:val="22"/>
        </w:rPr>
        <w:t xml:space="preserve"> che prevede un ampliamento della platea dei beneficiari del contributo per l’accesso agli studi universitari. In aggiunta alla fascia che beneficia dell’esenzione completa già prevista, l’attuale contributo consentirà a studentesse e studenti con reddito ISEE “Università” fino a 30.000 euro di accedere ai benefici previsti, secondo le modalità specificate nell’apposito bando di prossima pubblicazione sul portale </w:t>
      </w:r>
      <w:proofErr w:type="spellStart"/>
      <w:r w:rsidRPr="00A24AC6">
        <w:rPr>
          <w:rFonts w:ascii="Work Sans" w:hAnsi="Work Sans"/>
          <w:sz w:val="22"/>
          <w:szCs w:val="22"/>
        </w:rPr>
        <w:t>Adisu</w:t>
      </w:r>
      <w:proofErr w:type="spellEnd"/>
      <w:r w:rsidRPr="00A24AC6">
        <w:rPr>
          <w:rFonts w:ascii="Work Sans" w:hAnsi="Work Sans"/>
          <w:sz w:val="22"/>
          <w:szCs w:val="22"/>
        </w:rPr>
        <w:t>.</w:t>
      </w:r>
    </w:p>
    <w:p w:rsidR="004B0087" w:rsidRPr="00A24AC6" w:rsidRDefault="004B0087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A24AC6" w:rsidRDefault="00A24AC6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24AC6">
        <w:rPr>
          <w:rFonts w:ascii="Work Sans" w:hAnsi="Work Sans"/>
          <w:sz w:val="22"/>
          <w:szCs w:val="22"/>
        </w:rPr>
        <w:t>Ulteriori agevolazioni particolari sono previste per rifugiati, studenti meritevoli, studenti stranieri provenienti da paesi a basso sviluppo, studentesse e studenti provenienti dallo stesso nucleo familiare o che si iscrivano a tempo pieno in condizioni di necessità. </w:t>
      </w:r>
    </w:p>
    <w:p w:rsidR="004B0087" w:rsidRPr="00A24AC6" w:rsidRDefault="004B0087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A24AC6" w:rsidRDefault="00A24AC6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24AC6">
        <w:rPr>
          <w:rFonts w:ascii="Work Sans" w:hAnsi="Work Sans"/>
          <w:sz w:val="22"/>
          <w:szCs w:val="22"/>
        </w:rPr>
        <w:t>“Il diritto allo studio è da sempre il tema centrale del nostro impegno a favore della comunità accademica e della collettività, perché è compito precipuo delle Università quello di formare, scientificamente ma anche umanamente, studentesse e studenti, affinché abbiano la possibilità concreta di costruire una società realmente migliore e più giusta</w:t>
      </w:r>
      <w:r w:rsidR="001B1A07">
        <w:rPr>
          <w:rFonts w:ascii="Work Sans" w:hAnsi="Work Sans"/>
          <w:sz w:val="22"/>
          <w:szCs w:val="22"/>
        </w:rPr>
        <w:t xml:space="preserve"> -</w:t>
      </w:r>
      <w:r w:rsidRPr="00A24AC6">
        <w:rPr>
          <w:rFonts w:ascii="Work Sans" w:hAnsi="Work Sans"/>
          <w:sz w:val="22"/>
          <w:szCs w:val="22"/>
        </w:rPr>
        <w:t xml:space="preserve"> ha dichiarato il </w:t>
      </w:r>
      <w:r w:rsidRPr="001B1A07">
        <w:rPr>
          <w:rFonts w:ascii="Work Sans" w:hAnsi="Work Sans"/>
          <w:b/>
          <w:sz w:val="22"/>
          <w:szCs w:val="22"/>
        </w:rPr>
        <w:t>Magnifico Rettore, Prof. Maurizio Oliviero</w:t>
      </w:r>
      <w:r w:rsidR="001B1A07">
        <w:rPr>
          <w:rFonts w:ascii="Work Sans" w:hAnsi="Work Sans"/>
          <w:sz w:val="22"/>
          <w:szCs w:val="22"/>
        </w:rPr>
        <w:t xml:space="preserve"> -</w:t>
      </w:r>
      <w:r w:rsidRPr="00A24AC6">
        <w:rPr>
          <w:rFonts w:ascii="Work Sans" w:hAnsi="Work Sans"/>
          <w:sz w:val="22"/>
          <w:szCs w:val="22"/>
        </w:rPr>
        <w:t xml:space="preserve">. Non possiamo infatti semplicemente accontentarci dell’aumento di immatricolazioni e iscrizioni registrato negli ultimi anni, ma è nostro dovere continuare a impegnarci per assicurare il diritto di studentesse e studenti meritevoli di accedere a una formazione accademica di qualità, a prescindere dalle condizioni economiche, personali o familiari, così come previsto dall’articolo 34 della Carta Costituzionale della Repubblica Italiana. Questo è sempre stato il principio che ha guidato la nostra azione di governo e la sua applicazione assume oggi, anche alla luce della particolare situazione che il mondo sta attraversando, un significato ancora più stringente. Ringrazio quindi la Regione Umbria nella persona dell’Assessore Paola </w:t>
      </w:r>
      <w:proofErr w:type="spellStart"/>
      <w:r w:rsidRPr="00A24AC6">
        <w:rPr>
          <w:rFonts w:ascii="Work Sans" w:hAnsi="Work Sans"/>
          <w:sz w:val="22"/>
          <w:szCs w:val="22"/>
        </w:rPr>
        <w:t>Agabiti</w:t>
      </w:r>
      <w:proofErr w:type="spellEnd"/>
      <w:r w:rsidRPr="00A24AC6">
        <w:rPr>
          <w:rFonts w:ascii="Work Sans" w:hAnsi="Work Sans"/>
          <w:sz w:val="22"/>
          <w:szCs w:val="22"/>
        </w:rPr>
        <w:t xml:space="preserve"> per la sensibilità e l’attenzione dimostrate nei confronti dei giovani e del futuro della Regione e del Paese”.</w:t>
      </w:r>
    </w:p>
    <w:p w:rsidR="004B0087" w:rsidRPr="00A24AC6" w:rsidRDefault="004B0087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A24AC6" w:rsidRDefault="00A24AC6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24AC6">
        <w:rPr>
          <w:rFonts w:ascii="Work Sans" w:hAnsi="Work Sans"/>
          <w:sz w:val="22"/>
          <w:szCs w:val="22"/>
        </w:rPr>
        <w:t>“Il diritto allo studio va perseguito con azioni concrete e con impegno di risorse che consentano a tutti di poter accedere ad una istruzione di qualità, al fine di formare cittadini consapevoli e in grado di affrontare le sfide di una società e di un mondo del lavoro sempre più complessi e articolati</w:t>
      </w:r>
      <w:r w:rsidR="001B1A07">
        <w:rPr>
          <w:rFonts w:ascii="Work Sans" w:hAnsi="Work Sans"/>
          <w:sz w:val="22"/>
          <w:szCs w:val="22"/>
        </w:rPr>
        <w:t xml:space="preserve"> -</w:t>
      </w:r>
      <w:r w:rsidRPr="00A24AC6">
        <w:rPr>
          <w:rFonts w:ascii="Work Sans" w:hAnsi="Work Sans"/>
          <w:sz w:val="22"/>
          <w:szCs w:val="22"/>
        </w:rPr>
        <w:t xml:space="preserve"> sottolinea l’</w:t>
      </w:r>
      <w:r w:rsidR="004B0087" w:rsidRPr="004B0087">
        <w:rPr>
          <w:rFonts w:ascii="Work Sans" w:hAnsi="Work Sans"/>
          <w:b/>
          <w:sz w:val="22"/>
          <w:szCs w:val="22"/>
        </w:rPr>
        <w:t>A</w:t>
      </w:r>
      <w:r w:rsidRPr="004B0087">
        <w:rPr>
          <w:rFonts w:ascii="Work Sans" w:hAnsi="Work Sans"/>
          <w:b/>
          <w:sz w:val="22"/>
          <w:szCs w:val="22"/>
        </w:rPr>
        <w:t>ssessore all’Istruzione</w:t>
      </w:r>
      <w:r w:rsidRPr="00A24AC6">
        <w:rPr>
          <w:rFonts w:ascii="Work Sans" w:hAnsi="Work Sans"/>
          <w:sz w:val="22"/>
          <w:szCs w:val="22"/>
        </w:rPr>
        <w:t xml:space="preserve"> </w:t>
      </w:r>
      <w:r w:rsidRPr="004B0087">
        <w:rPr>
          <w:rFonts w:ascii="Work Sans" w:hAnsi="Work Sans"/>
          <w:b/>
          <w:sz w:val="22"/>
          <w:szCs w:val="22"/>
        </w:rPr>
        <w:t xml:space="preserve">Paola </w:t>
      </w:r>
      <w:proofErr w:type="spellStart"/>
      <w:r w:rsidRPr="004B0087">
        <w:rPr>
          <w:rFonts w:ascii="Work Sans" w:hAnsi="Work Sans"/>
          <w:b/>
          <w:sz w:val="22"/>
          <w:szCs w:val="22"/>
        </w:rPr>
        <w:t>Agabiti</w:t>
      </w:r>
      <w:proofErr w:type="spellEnd"/>
      <w:r w:rsidR="001B1A07">
        <w:rPr>
          <w:rFonts w:ascii="Work Sans" w:hAnsi="Work Sans"/>
          <w:sz w:val="22"/>
          <w:szCs w:val="22"/>
        </w:rPr>
        <w:t xml:space="preserve"> -</w:t>
      </w:r>
      <w:r w:rsidRPr="00A24AC6">
        <w:rPr>
          <w:rFonts w:ascii="Work Sans" w:hAnsi="Work Sans"/>
          <w:sz w:val="22"/>
          <w:szCs w:val="22"/>
        </w:rPr>
        <w:t xml:space="preserve">. L’amministrazione regionale – conscia delle difficoltà che, soprattutto in questo periodo che segue la fase pandemica e la contrazione del potere di acquisto dei nuclei familiari, - non si vuole sottrarre a questo compito e a questo suo primario dovere. A tal fine, ha deciso di ampliare la platea dei destinatari dei benefici previsti per l’istruzione universitaria e allargare così il numero di coloro che potranno usufruire di risorse per iniziare e proseguire il cammino intrapreso presso le nostre facoltà. Dobbiamo consentire </w:t>
      </w:r>
      <w:r w:rsidRPr="00A24AC6">
        <w:rPr>
          <w:rFonts w:ascii="Work Sans" w:hAnsi="Work Sans"/>
          <w:sz w:val="22"/>
          <w:szCs w:val="22"/>
        </w:rPr>
        <w:lastRenderedPageBreak/>
        <w:t xml:space="preserve">a tutti di godere dei medesimi diritti e delle medesime possibilità; dobbiamo senza sosta concentrarci a fornire a tutti quelle chance e quelle opportunità che la nostra Carta Costituzionale richiede di prevedere per tutti. Il nostro lavoro non finisce qua – conclude l’Assessore </w:t>
      </w:r>
      <w:proofErr w:type="spellStart"/>
      <w:r w:rsidRPr="00A24AC6">
        <w:rPr>
          <w:rFonts w:ascii="Work Sans" w:hAnsi="Work Sans"/>
          <w:sz w:val="22"/>
          <w:szCs w:val="22"/>
        </w:rPr>
        <w:t>Agabiti</w:t>
      </w:r>
      <w:proofErr w:type="spellEnd"/>
      <w:r w:rsidRPr="00A24AC6">
        <w:rPr>
          <w:rFonts w:ascii="Work Sans" w:hAnsi="Work Sans"/>
          <w:sz w:val="22"/>
          <w:szCs w:val="22"/>
        </w:rPr>
        <w:t xml:space="preserve"> - questo è uno dei tanti mattoni che dobbiamo costruire. Ancora molte sono le difficoltà davanti a noi per arrivare ad una autentica uguaglianza di opportunità. Su questa strada dobbiamo dirigere i nostri sforzi futuri”.</w:t>
      </w:r>
    </w:p>
    <w:p w:rsidR="00A24AC6" w:rsidRDefault="00A24AC6" w:rsidP="004B0087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</w:p>
    <w:p w:rsidR="004B0087" w:rsidRDefault="004B0087" w:rsidP="004B0087">
      <w:pPr>
        <w:spacing w:after="0" w:line="240" w:lineRule="auto"/>
        <w:jc w:val="both"/>
        <w:rPr>
          <w:rFonts w:ascii="Work Sans" w:hAnsi="Work Sans"/>
          <w:b/>
          <w:sz w:val="22"/>
          <w:szCs w:val="22"/>
        </w:rPr>
      </w:pPr>
    </w:p>
    <w:p w:rsidR="00A24AC6" w:rsidRPr="00A24AC6" w:rsidRDefault="00A24AC6" w:rsidP="004B0087">
      <w:pPr>
        <w:spacing w:after="0" w:line="240" w:lineRule="auto"/>
        <w:jc w:val="both"/>
        <w:rPr>
          <w:rFonts w:ascii="Work Sans" w:hAnsi="Work Sans"/>
          <w:b/>
          <w:sz w:val="22"/>
          <w:szCs w:val="22"/>
        </w:rPr>
      </w:pPr>
      <w:r w:rsidRPr="00A24AC6">
        <w:rPr>
          <w:rFonts w:ascii="Work Sans" w:hAnsi="Work Sans"/>
          <w:b/>
          <w:sz w:val="22"/>
          <w:szCs w:val="22"/>
        </w:rPr>
        <w:t>Perugia, 5 maggio 2022</w:t>
      </w:r>
    </w:p>
    <w:bookmarkEnd w:id="0"/>
    <w:p w:rsidR="006A69CE" w:rsidRPr="00E366B3" w:rsidRDefault="006A69CE" w:rsidP="00A24AC6">
      <w:pPr>
        <w:pStyle w:val="NormaleWeb"/>
        <w:shd w:val="clear" w:color="auto" w:fill="FFFFFF"/>
        <w:spacing w:before="0" w:beforeAutospacing="0" w:after="0" w:afterAutospacing="0" w:line="23" w:lineRule="atLeast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85" w:rsidRDefault="00895D85" w:rsidP="005C2BD2">
      <w:r>
        <w:separator/>
      </w:r>
    </w:p>
  </w:endnote>
  <w:endnote w:type="continuationSeparator" w:id="0">
    <w:p w:rsidR="00895D85" w:rsidRDefault="00895D8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85" w:rsidRDefault="00895D85" w:rsidP="005C2BD2">
      <w:r>
        <w:separator/>
      </w:r>
    </w:p>
  </w:footnote>
  <w:footnote w:type="continuationSeparator" w:id="0">
    <w:p w:rsidR="00895D85" w:rsidRDefault="00895D8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895D8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895D8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895D8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376F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622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2F87"/>
    <w:rsid w:val="000A33DC"/>
    <w:rsid w:val="000A598D"/>
    <w:rsid w:val="000A7053"/>
    <w:rsid w:val="000A709A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317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1A07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36FD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6A3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1EC9"/>
    <w:rsid w:val="003355A9"/>
    <w:rsid w:val="003416A3"/>
    <w:rsid w:val="0034179B"/>
    <w:rsid w:val="00342BE5"/>
    <w:rsid w:val="003462D0"/>
    <w:rsid w:val="00350344"/>
    <w:rsid w:val="00352108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3F7DA1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05BB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087"/>
    <w:rsid w:val="004B0290"/>
    <w:rsid w:val="004B1C4B"/>
    <w:rsid w:val="004C0A68"/>
    <w:rsid w:val="004C0C44"/>
    <w:rsid w:val="004C14F1"/>
    <w:rsid w:val="004C501A"/>
    <w:rsid w:val="004C68A4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57439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33E80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E7796"/>
    <w:rsid w:val="007F040D"/>
    <w:rsid w:val="007F4068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0365"/>
    <w:rsid w:val="00867402"/>
    <w:rsid w:val="008733CC"/>
    <w:rsid w:val="008765FA"/>
    <w:rsid w:val="00877C6D"/>
    <w:rsid w:val="00881C98"/>
    <w:rsid w:val="00893154"/>
    <w:rsid w:val="00894C65"/>
    <w:rsid w:val="00895D8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4AC6"/>
    <w:rsid w:val="00A26487"/>
    <w:rsid w:val="00A3343F"/>
    <w:rsid w:val="00A35282"/>
    <w:rsid w:val="00A36E7F"/>
    <w:rsid w:val="00A37710"/>
    <w:rsid w:val="00A41274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035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4DFE"/>
    <w:rsid w:val="00C05D55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6E57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87E9C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4B1E"/>
    <w:rsid w:val="00E06FFB"/>
    <w:rsid w:val="00E07901"/>
    <w:rsid w:val="00E07A6A"/>
    <w:rsid w:val="00E07DF4"/>
    <w:rsid w:val="00E10D86"/>
    <w:rsid w:val="00E11D07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6F06"/>
    <w:rsid w:val="00FB743D"/>
    <w:rsid w:val="00FC28D1"/>
    <w:rsid w:val="00FC38C7"/>
    <w:rsid w:val="00FC4FA2"/>
    <w:rsid w:val="00FD586E"/>
    <w:rsid w:val="00FD7D29"/>
    <w:rsid w:val="00FE29FD"/>
    <w:rsid w:val="00FE4ED6"/>
    <w:rsid w:val="00FE56AC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B3A5D3C"/>
  <w15:docId w15:val="{6083D7D5-AC7C-4F16-BB50-E747BCE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A948-ABCE-49E5-98D5-5CD34B00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2022-05-05T08:34:00Z</dcterms:created>
  <dcterms:modified xsi:type="dcterms:W3CDTF">2022-05-05T08:57:00Z</dcterms:modified>
</cp:coreProperties>
</file>