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528"/>
        <w:gridCol w:w="2053"/>
      </w:tblGrid>
      <w:tr w:rsidR="00CC17FA" w:rsidRPr="00E245D9" w14:paraId="6C1CE828" w14:textId="77777777" w:rsidTr="00F83446">
        <w:trPr>
          <w:trHeight w:val="142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54441" w14:textId="77777777" w:rsidR="00CC17FA" w:rsidRPr="00E245D9" w:rsidRDefault="00CC17FA" w:rsidP="00CC17F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noProof/>
                <w:spacing w:val="20"/>
                <w:position w:val="-2"/>
                <w:lang w:eastAsia="it-IT"/>
              </w:rPr>
            </w:pPr>
          </w:p>
          <w:p w14:paraId="75781D72" w14:textId="77777777" w:rsidR="00CC17FA" w:rsidRPr="00E245D9" w:rsidRDefault="00CC17FA" w:rsidP="00CC17F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noProof/>
                <w:spacing w:val="20"/>
                <w:position w:val="-2"/>
                <w:lang w:eastAsia="it-IT"/>
              </w:rPr>
            </w:pPr>
            <w:r w:rsidRPr="00E245D9">
              <w:rPr>
                <w:rFonts w:ascii="Work Sans" w:eastAsia="Times New Roman" w:hAnsi="Work Sans" w:cs="Times New Roman"/>
                <w:b/>
                <w:noProof/>
                <w:spacing w:val="20"/>
                <w:position w:val="-2"/>
                <w:lang w:eastAsia="it-IT"/>
              </w:rPr>
              <w:drawing>
                <wp:inline distT="0" distB="0" distL="0" distR="0" wp14:anchorId="1A70B6E6" wp14:editId="71255F82">
                  <wp:extent cx="1171575" cy="533400"/>
                  <wp:effectExtent l="0" t="0" r="9525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0E8239" w14:textId="77777777" w:rsidR="00CC17FA" w:rsidRPr="00E245D9" w:rsidRDefault="00CC17FA" w:rsidP="00CC17F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lang w:eastAsia="it-IT"/>
              </w:rPr>
            </w:pPr>
          </w:p>
        </w:tc>
        <w:tc>
          <w:tcPr>
            <w:tcW w:w="5528" w:type="dxa"/>
          </w:tcPr>
          <w:p w14:paraId="73A67615" w14:textId="77777777" w:rsidR="00CC17FA" w:rsidRPr="00E245D9" w:rsidRDefault="00CC17FA" w:rsidP="00CC17FA">
            <w:pPr>
              <w:spacing w:after="0" w:line="240" w:lineRule="auto"/>
              <w:jc w:val="center"/>
              <w:rPr>
                <w:rFonts w:ascii="Work Sans" w:eastAsia="Times New Roman" w:hAnsi="Work Sans" w:cs="Times New Roman"/>
                <w:b/>
                <w:lang w:eastAsia="it-IT"/>
              </w:rPr>
            </w:pPr>
          </w:p>
          <w:p w14:paraId="540CF85E" w14:textId="77777777" w:rsidR="00CC17FA" w:rsidRPr="00E245D9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</w:p>
          <w:p w14:paraId="10A107FE" w14:textId="6B083F35" w:rsidR="00CC17FA" w:rsidRPr="00E245D9" w:rsidRDefault="00CC17FA" w:rsidP="00CC17FA">
            <w:pPr>
              <w:spacing w:after="0" w:line="240" w:lineRule="auto"/>
              <w:ind w:firstLine="708"/>
              <w:rPr>
                <w:rFonts w:ascii="Work Sans" w:eastAsia="Times New Roman" w:hAnsi="Work Sans" w:cs="Times New Roman"/>
                <w:b/>
                <w:lang w:eastAsia="it-IT"/>
              </w:rPr>
            </w:pPr>
            <w:r w:rsidRPr="00E245D9">
              <w:rPr>
                <w:rFonts w:ascii="Work Sans" w:eastAsia="Times New Roman" w:hAnsi="Work Sans" w:cs="Times New Roman"/>
                <w:b/>
                <w:lang w:eastAsia="it-IT"/>
              </w:rPr>
              <w:t xml:space="preserve">                Relazione annuale (RA</w:t>
            </w:r>
            <w:r w:rsidR="00E245D9" w:rsidRPr="00E245D9">
              <w:rPr>
                <w:rFonts w:ascii="Work Sans" w:eastAsia="Times New Roman" w:hAnsi="Work Sans" w:cs="Times New Roman"/>
                <w:b/>
                <w:lang w:eastAsia="it-IT"/>
              </w:rPr>
              <w:t xml:space="preserve"> SSP</w:t>
            </w:r>
            <w:r w:rsidRPr="00E245D9">
              <w:rPr>
                <w:rFonts w:ascii="Work Sans" w:eastAsia="Times New Roman" w:hAnsi="Work Sans" w:cs="Times New Roman"/>
                <w:b/>
                <w:lang w:eastAsia="it-IT"/>
              </w:rPr>
              <w:t>)</w:t>
            </w:r>
          </w:p>
          <w:p w14:paraId="0CBC4696" w14:textId="77777777" w:rsidR="00CC17FA" w:rsidRPr="00E245D9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</w:p>
        </w:tc>
        <w:tc>
          <w:tcPr>
            <w:tcW w:w="2053" w:type="dxa"/>
          </w:tcPr>
          <w:p w14:paraId="2DEC9B85" w14:textId="77777777" w:rsidR="00CC17FA" w:rsidRPr="00E245D9" w:rsidRDefault="00CC17FA" w:rsidP="00CC17F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lang w:val="en-GB" w:eastAsia="it-IT"/>
              </w:rPr>
            </w:pPr>
          </w:p>
          <w:p w14:paraId="69170B8A" w14:textId="77777777" w:rsidR="00CC17FA" w:rsidRPr="00E245D9" w:rsidRDefault="00CC17FA" w:rsidP="00CC17F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lang w:val="en-GB" w:eastAsia="it-IT"/>
              </w:rPr>
            </w:pPr>
          </w:p>
          <w:p w14:paraId="34229F40" w14:textId="47961DA5" w:rsidR="00CC17FA" w:rsidRPr="00E245D9" w:rsidRDefault="00CC17FA" w:rsidP="00CC17F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lang w:val="en-GB" w:eastAsia="it-IT"/>
              </w:rPr>
            </w:pPr>
            <w:r w:rsidRPr="00E245D9">
              <w:rPr>
                <w:rFonts w:ascii="Work Sans" w:eastAsia="Times New Roman" w:hAnsi="Work Sans" w:cs="Times New Roman"/>
                <w:b/>
                <w:lang w:val="en-GB" w:eastAsia="it-IT"/>
              </w:rPr>
              <w:t xml:space="preserve">MODOT AQ </w:t>
            </w:r>
            <w:r w:rsidR="00E245D9" w:rsidRPr="00E245D9">
              <w:rPr>
                <w:rFonts w:ascii="Work Sans" w:eastAsia="Times New Roman" w:hAnsi="Work Sans" w:cs="Times New Roman"/>
                <w:b/>
                <w:lang w:val="en-GB" w:eastAsia="it-IT"/>
              </w:rPr>
              <w:t>SSP</w:t>
            </w:r>
          </w:p>
          <w:p w14:paraId="2F44263B" w14:textId="5EE9D080" w:rsidR="00CC17FA" w:rsidRPr="00E245D9" w:rsidRDefault="00CC17FA" w:rsidP="00CC17F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lang w:val="en-GB" w:eastAsia="it-IT"/>
              </w:rPr>
            </w:pPr>
            <w:r w:rsidRPr="00E245D9">
              <w:rPr>
                <w:rFonts w:ascii="Work Sans" w:eastAsia="Times New Roman" w:hAnsi="Work Sans" w:cs="Times New Roman"/>
                <w:b/>
                <w:lang w:val="en-GB" w:eastAsia="it-IT"/>
              </w:rPr>
              <w:t>Rev</w:t>
            </w:r>
            <w:r w:rsidR="0053614D" w:rsidRPr="00E245D9">
              <w:rPr>
                <w:rFonts w:ascii="Work Sans" w:eastAsia="Times New Roman" w:hAnsi="Work Sans" w:cs="Times New Roman"/>
                <w:b/>
                <w:lang w:val="en-GB" w:eastAsia="it-IT"/>
              </w:rPr>
              <w:t xml:space="preserve"> 00</w:t>
            </w:r>
          </w:p>
          <w:p w14:paraId="647B5FF3" w14:textId="07E02690" w:rsidR="00CC17FA" w:rsidRPr="00E245D9" w:rsidRDefault="00CC17FA" w:rsidP="00CC17F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lang w:val="en-GB" w:eastAsia="it-IT"/>
              </w:rPr>
            </w:pPr>
            <w:r w:rsidRPr="00E245D9">
              <w:rPr>
                <w:rFonts w:ascii="Work Sans" w:eastAsia="Times New Roman" w:hAnsi="Work Sans" w:cs="Times New Roman"/>
                <w:b/>
                <w:lang w:val="en-GB" w:eastAsia="it-IT"/>
              </w:rPr>
              <w:t>Data</w:t>
            </w:r>
            <w:r w:rsidR="0053614D" w:rsidRPr="00E245D9">
              <w:rPr>
                <w:rFonts w:ascii="Work Sans" w:eastAsia="Times New Roman" w:hAnsi="Work Sans" w:cs="Times New Roman"/>
                <w:b/>
                <w:lang w:val="en-GB" w:eastAsia="it-IT"/>
              </w:rPr>
              <w:t xml:space="preserve"> </w:t>
            </w:r>
            <w:r w:rsidR="005101E7">
              <w:rPr>
                <w:rFonts w:ascii="Work Sans" w:eastAsia="Times New Roman" w:hAnsi="Work Sans" w:cs="Times New Roman"/>
                <w:b/>
                <w:lang w:val="en-GB" w:eastAsia="it-IT"/>
              </w:rPr>
              <w:t>20.11.2023</w:t>
            </w:r>
            <w:bookmarkStart w:id="0" w:name="_GoBack"/>
            <w:bookmarkEnd w:id="0"/>
          </w:p>
        </w:tc>
      </w:tr>
    </w:tbl>
    <w:p w14:paraId="2C03428A" w14:textId="3A5F324F" w:rsidR="00CC17FA" w:rsidRPr="00E245D9" w:rsidRDefault="00CC17FA" w:rsidP="00CC17FA">
      <w:pPr>
        <w:spacing w:after="0" w:line="240" w:lineRule="auto"/>
        <w:jc w:val="both"/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</w:pPr>
      <w:r w:rsidRPr="00E245D9">
        <w:rPr>
          <w:rFonts w:ascii="Work Sans" w:eastAsia="Times New Roman" w:hAnsi="Work Sans" w:cs="Times New Roman"/>
          <w:bCs/>
          <w:i/>
          <w:iCs/>
          <w:sz w:val="18"/>
          <w:szCs w:val="18"/>
          <w:lang w:eastAsia="it-IT"/>
        </w:rPr>
        <w:t xml:space="preserve">La Relazione annuale - redatta a fine ciclo </w:t>
      </w:r>
      <w:r w:rsidR="00E245D9" w:rsidRPr="00E245D9">
        <w:rPr>
          <w:rFonts w:ascii="Work Sans" w:eastAsia="Times New Roman" w:hAnsi="Work Sans" w:cs="Times New Roman"/>
          <w:bCs/>
          <w:i/>
          <w:iCs/>
          <w:sz w:val="18"/>
          <w:szCs w:val="18"/>
          <w:lang w:eastAsia="it-IT"/>
        </w:rPr>
        <w:t>a</w:t>
      </w:r>
      <w:r w:rsidRPr="00E245D9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>i fini dell’</w:t>
      </w:r>
      <w:r w:rsidR="00E245D9" w:rsidRPr="00E245D9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>AQ delle SSP</w:t>
      </w:r>
      <w:r w:rsidRPr="00E245D9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 secondo </w:t>
      </w:r>
      <w:r w:rsidR="00E245D9" w:rsidRPr="00E245D9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il Sistema per l'Assicurazione della Qualità di Ateneo e i requisiti </w:t>
      </w:r>
      <w:r w:rsidRPr="00E245D9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>AVA</w:t>
      </w:r>
      <w:r w:rsidR="00E245D9" w:rsidRPr="00E245D9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 </w:t>
      </w:r>
      <w:r w:rsidRPr="00E245D9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3. La RA </w:t>
      </w:r>
      <w:r w:rsidR="00E245D9" w:rsidRPr="00E245D9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SSP </w:t>
      </w:r>
      <w:r w:rsidRPr="00E245D9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si compone di </w:t>
      </w:r>
      <w:r w:rsidR="00E245D9" w:rsidRPr="00E245D9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tre </w:t>
      </w:r>
      <w:r w:rsidRPr="00E245D9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>sezioni: 1) Frontespizio; 2) Scheda di monitoraggio annuale (di fine ciclo</w:t>
      </w:r>
      <w:r w:rsidR="00BC5835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>/coorte</w:t>
      </w:r>
      <w:r w:rsidRPr="00E245D9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>) ai fini del riesame; 3) Punti di forza e punti di debolezza</w:t>
      </w:r>
      <w:r w:rsidR="00E245D9" w:rsidRPr="00E245D9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>.</w:t>
      </w:r>
      <w:r w:rsidRPr="00E245D9">
        <w:rPr>
          <w:rFonts w:ascii="Work Sans" w:eastAsia="Times New Roman" w:hAnsi="Work Sans" w:cs="Times New Roman"/>
          <w:i/>
          <w:iCs/>
          <w:sz w:val="18"/>
          <w:szCs w:val="18"/>
          <w:lang w:eastAsia="it-IT"/>
        </w:rPr>
        <w:t xml:space="preserve"> </w:t>
      </w:r>
    </w:p>
    <w:p w14:paraId="141C734A" w14:textId="77777777" w:rsidR="00CC17FA" w:rsidRPr="00E245D9" w:rsidRDefault="00CC17FA" w:rsidP="00CC17FA">
      <w:pPr>
        <w:spacing w:after="0" w:line="240" w:lineRule="auto"/>
        <w:jc w:val="both"/>
        <w:rPr>
          <w:rFonts w:ascii="Work Sans" w:eastAsia="Times New Roman" w:hAnsi="Work Sans" w:cs="Times New Roman"/>
          <w:lang w:eastAsia="it-IT"/>
        </w:rPr>
      </w:pPr>
    </w:p>
    <w:p w14:paraId="227F987B" w14:textId="277F1A43" w:rsidR="00CC17FA" w:rsidRDefault="00CC17FA" w:rsidP="00CC17FA">
      <w:pPr>
        <w:numPr>
          <w:ilvl w:val="0"/>
          <w:numId w:val="12"/>
        </w:numPr>
        <w:shd w:val="clear" w:color="auto" w:fill="E6E6E6"/>
        <w:spacing w:after="120" w:line="216" w:lineRule="auto"/>
        <w:contextualSpacing/>
        <w:rPr>
          <w:rFonts w:ascii="Work Sans" w:eastAsia="Times New Roman" w:hAnsi="Work Sans" w:cs="Times New Roman"/>
          <w:b/>
          <w:lang w:eastAsia="it-IT"/>
        </w:rPr>
      </w:pPr>
      <w:r w:rsidRPr="00E245D9">
        <w:rPr>
          <w:rFonts w:ascii="Work Sans" w:eastAsia="Times New Roman" w:hAnsi="Work Sans" w:cs="Times New Roman"/>
          <w:b/>
          <w:lang w:eastAsia="it-IT"/>
        </w:rPr>
        <w:t>Frontespizio</w:t>
      </w:r>
    </w:p>
    <w:p w14:paraId="521F4671" w14:textId="77777777" w:rsidR="009D4E54" w:rsidRPr="00E245D9" w:rsidRDefault="009D4E54" w:rsidP="009D4E54">
      <w:pPr>
        <w:spacing w:after="120" w:line="216" w:lineRule="auto"/>
        <w:contextualSpacing/>
        <w:rPr>
          <w:rFonts w:ascii="Work Sans" w:eastAsia="Times New Roman" w:hAnsi="Work Sans" w:cs="Times New Roman"/>
          <w:b/>
          <w:lang w:eastAsia="it-IT"/>
        </w:rPr>
      </w:pPr>
    </w:p>
    <w:tbl>
      <w:tblPr>
        <w:tblW w:w="0" w:type="auto"/>
        <w:tblInd w:w="108" w:type="dxa"/>
        <w:tblBorders>
          <w:top w:val="single" w:sz="18" w:space="0" w:color="548DD4"/>
          <w:left w:val="single" w:sz="18" w:space="0" w:color="548DD4"/>
          <w:bottom w:val="single" w:sz="18" w:space="0" w:color="548DD4"/>
          <w:right w:val="single" w:sz="18" w:space="0" w:color="548DD4"/>
          <w:insideH w:val="single" w:sz="18" w:space="0" w:color="548DD4"/>
          <w:insideV w:val="single" w:sz="18" w:space="0" w:color="548DD4"/>
        </w:tblBorders>
        <w:tblLook w:val="01E0" w:firstRow="1" w:lastRow="1" w:firstColumn="1" w:lastColumn="1" w:noHBand="0" w:noVBand="0"/>
      </w:tblPr>
      <w:tblGrid>
        <w:gridCol w:w="9626"/>
      </w:tblGrid>
      <w:tr w:rsidR="00CC17FA" w:rsidRPr="00E245D9" w14:paraId="3B520A34" w14:textId="77777777" w:rsidTr="00F83446">
        <w:tc>
          <w:tcPr>
            <w:tcW w:w="9923" w:type="dxa"/>
          </w:tcPr>
          <w:p w14:paraId="14095BD0" w14:textId="25D3D41E" w:rsidR="00CC17FA" w:rsidRPr="00E245D9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  <w:r w:rsidRPr="00E245D9">
              <w:rPr>
                <w:rFonts w:ascii="Work Sans" w:eastAsia="Times New Roman" w:hAnsi="Work Sans" w:cs="Times New Roman"/>
                <w:lang w:eastAsia="it-IT"/>
              </w:rPr>
              <w:t>Nome del</w:t>
            </w:r>
            <w:r w:rsidR="00E245D9" w:rsidRPr="00E245D9">
              <w:rPr>
                <w:rFonts w:ascii="Work Sans" w:eastAsia="Times New Roman" w:hAnsi="Work Sans" w:cs="Times New Roman"/>
                <w:lang w:eastAsia="it-IT"/>
              </w:rPr>
              <w:t>la SSP</w:t>
            </w:r>
            <w:r w:rsidRPr="00E245D9">
              <w:rPr>
                <w:rFonts w:ascii="Work Sans" w:eastAsia="Times New Roman" w:hAnsi="Work Sans" w:cs="Times New Roman"/>
                <w:lang w:eastAsia="it-IT"/>
              </w:rPr>
              <w:t xml:space="preserve"> ____________________________</w:t>
            </w:r>
          </w:p>
          <w:p w14:paraId="4613E5B9" w14:textId="67C705DA" w:rsidR="00CC17FA" w:rsidRPr="00E245D9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  <w:r w:rsidRPr="00E245D9">
              <w:rPr>
                <w:rFonts w:ascii="Work Sans" w:eastAsia="Times New Roman" w:hAnsi="Work Sans" w:cs="Times New Roman"/>
                <w:lang w:eastAsia="it-IT"/>
              </w:rPr>
              <w:t>Anno accademico</w:t>
            </w:r>
            <w:r w:rsidR="00091A28">
              <w:rPr>
                <w:rFonts w:ascii="Work Sans" w:eastAsia="Times New Roman" w:hAnsi="Work Sans" w:cs="Times New Roman"/>
                <w:lang w:eastAsia="it-IT"/>
              </w:rPr>
              <w:t xml:space="preserve"> </w:t>
            </w:r>
            <w:r w:rsidR="00091A28" w:rsidRPr="00BC5835">
              <w:rPr>
                <w:rFonts w:ascii="Work Sans" w:eastAsia="Times New Roman" w:hAnsi="Work Sans" w:cs="Times New Roman"/>
                <w:lang w:eastAsia="it-IT"/>
              </w:rPr>
              <w:t xml:space="preserve">(di </w:t>
            </w:r>
            <w:r w:rsidR="00091A28" w:rsidRPr="00BC5835">
              <w:rPr>
                <w:rFonts w:ascii="Work Sans" w:eastAsia="Times New Roman" w:hAnsi="Work Sans" w:cs="Times New Roman"/>
                <w:i/>
                <w:lang w:eastAsia="it-IT"/>
              </w:rPr>
              <w:t>conclusione del percorso formativo</w:t>
            </w:r>
            <w:r w:rsidR="00091A28" w:rsidRPr="00BC5835">
              <w:rPr>
                <w:rFonts w:ascii="Work Sans" w:eastAsia="Times New Roman" w:hAnsi="Work Sans" w:cs="Times New Roman"/>
                <w:lang w:eastAsia="it-IT"/>
              </w:rPr>
              <w:t>)</w:t>
            </w:r>
            <w:r w:rsidRPr="00E245D9">
              <w:rPr>
                <w:rFonts w:ascii="Work Sans" w:eastAsia="Times New Roman" w:hAnsi="Work Sans" w:cs="Times New Roman"/>
                <w:lang w:eastAsia="it-IT"/>
              </w:rPr>
              <w:t xml:space="preserve"> _________________________</w:t>
            </w:r>
          </w:p>
          <w:p w14:paraId="0460B5AA" w14:textId="71B226B6" w:rsidR="00CC17FA" w:rsidRPr="00E245D9" w:rsidRDefault="00BC5835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  <w:r>
              <w:rPr>
                <w:rFonts w:ascii="Work Sans" w:eastAsia="Times New Roman" w:hAnsi="Work Sans" w:cs="Times New Roman"/>
                <w:lang w:eastAsia="it-IT"/>
              </w:rPr>
              <w:t>Ciclo/</w:t>
            </w:r>
            <w:r w:rsidR="00091A28" w:rsidRPr="00BC5835">
              <w:rPr>
                <w:rFonts w:ascii="Work Sans" w:eastAsia="Times New Roman" w:hAnsi="Work Sans" w:cs="Times New Roman"/>
                <w:lang w:eastAsia="it-IT"/>
              </w:rPr>
              <w:t>Coorte</w:t>
            </w:r>
            <w:r w:rsidR="00091A28" w:rsidRPr="00091A28">
              <w:rPr>
                <w:rFonts w:ascii="Work Sans" w:eastAsia="Times New Roman" w:hAnsi="Work Sans" w:cs="Times New Roman"/>
                <w:lang w:eastAsia="it-IT"/>
              </w:rPr>
              <w:t xml:space="preserve"> </w:t>
            </w:r>
            <w:r w:rsidR="00CC17FA" w:rsidRPr="00E245D9">
              <w:rPr>
                <w:rFonts w:ascii="Work Sans" w:eastAsia="Times New Roman" w:hAnsi="Work Sans" w:cs="Times New Roman"/>
                <w:lang w:eastAsia="it-IT"/>
              </w:rPr>
              <w:t>________________________________</w:t>
            </w:r>
          </w:p>
          <w:p w14:paraId="3AF6B086" w14:textId="77777777" w:rsidR="00FD2EC5" w:rsidRDefault="00FD2EC5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</w:p>
          <w:p w14:paraId="0D25EADD" w14:textId="4C9E8AAE" w:rsidR="00CC17FA" w:rsidRPr="00E245D9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  <w:r w:rsidRPr="00E245D9">
              <w:rPr>
                <w:rFonts w:ascii="Work Sans" w:eastAsia="Times New Roman" w:hAnsi="Work Sans" w:cs="Times New Roman"/>
                <w:lang w:eastAsia="it-IT"/>
              </w:rPr>
              <w:t xml:space="preserve">Data </w:t>
            </w:r>
            <w:r w:rsidR="00091A28">
              <w:rPr>
                <w:rFonts w:ascii="Work Sans" w:eastAsia="Times New Roman" w:hAnsi="Work Sans" w:cs="Times New Roman"/>
                <w:lang w:eastAsia="it-IT"/>
              </w:rPr>
              <w:t>i</w:t>
            </w:r>
            <w:r w:rsidRPr="00E245D9">
              <w:rPr>
                <w:rFonts w:ascii="Work Sans" w:eastAsia="Times New Roman" w:hAnsi="Work Sans" w:cs="Times New Roman"/>
                <w:lang w:eastAsia="it-IT"/>
              </w:rPr>
              <w:t>nizio attività ___________________________________</w:t>
            </w:r>
          </w:p>
          <w:p w14:paraId="22220CDF" w14:textId="3B6BE045" w:rsidR="00FD2EC5" w:rsidRDefault="00091A28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  <w:r w:rsidRPr="00BC5835">
              <w:rPr>
                <w:rFonts w:ascii="Work Sans" w:eastAsia="Times New Roman" w:hAnsi="Work Sans" w:cs="Times New Roman"/>
                <w:lang w:eastAsia="it-IT"/>
              </w:rPr>
              <w:t>Data fine attività ____________________________________</w:t>
            </w:r>
          </w:p>
          <w:p w14:paraId="2A100777" w14:textId="77777777" w:rsidR="00091A28" w:rsidRDefault="00091A28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</w:p>
          <w:p w14:paraId="02AFEB4B" w14:textId="79C5A854" w:rsidR="00CC17FA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  <w:r w:rsidRPr="00FD2EC5">
              <w:rPr>
                <w:rFonts w:ascii="Work Sans" w:eastAsia="Times New Roman" w:hAnsi="Work Sans" w:cs="Times New Roman"/>
                <w:lang w:eastAsia="it-IT"/>
              </w:rPr>
              <w:t xml:space="preserve">N. </w:t>
            </w:r>
            <w:r w:rsidR="00E245D9" w:rsidRPr="00FD2EC5">
              <w:rPr>
                <w:rFonts w:ascii="Work Sans" w:eastAsia="Times New Roman" w:hAnsi="Work Sans" w:cs="Times New Roman"/>
                <w:lang w:eastAsia="it-IT"/>
              </w:rPr>
              <w:t>specializza</w:t>
            </w:r>
            <w:r w:rsidRPr="00FD2EC5">
              <w:rPr>
                <w:rFonts w:ascii="Work Sans" w:eastAsia="Times New Roman" w:hAnsi="Work Sans" w:cs="Times New Roman"/>
                <w:lang w:eastAsia="it-IT"/>
              </w:rPr>
              <w:t>ndi immatricolati ___________________________</w:t>
            </w:r>
          </w:p>
          <w:p w14:paraId="2ED789E4" w14:textId="55E9FD09" w:rsidR="0052512D" w:rsidRPr="00FD2EC5" w:rsidRDefault="0052512D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  <w:r>
              <w:rPr>
                <w:rFonts w:ascii="Work Sans" w:eastAsia="Times New Roman" w:hAnsi="Work Sans" w:cs="Times New Roman"/>
                <w:lang w:eastAsia="it-IT"/>
              </w:rPr>
              <w:t>N. specializzandi iscritti al I anno che hanno conseguito il titolo di accesso in altro Ateneo __________________________________________________</w:t>
            </w:r>
          </w:p>
          <w:p w14:paraId="31E248E8" w14:textId="6C4DAE73" w:rsidR="00CC17FA" w:rsidRPr="00E245D9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  <w:r w:rsidRPr="00FD2EC5">
              <w:rPr>
                <w:rFonts w:ascii="Work Sans" w:eastAsia="Times New Roman" w:hAnsi="Work Sans" w:cs="Times New Roman"/>
                <w:lang w:eastAsia="it-IT"/>
              </w:rPr>
              <w:t xml:space="preserve">N. </w:t>
            </w:r>
            <w:r w:rsidR="00E245D9" w:rsidRPr="00FD2EC5">
              <w:rPr>
                <w:rFonts w:ascii="Work Sans" w:eastAsia="Times New Roman" w:hAnsi="Work Sans" w:cs="Times New Roman"/>
                <w:lang w:eastAsia="it-IT"/>
              </w:rPr>
              <w:t>specializza</w:t>
            </w:r>
            <w:r w:rsidRPr="00FD2EC5">
              <w:rPr>
                <w:rFonts w:ascii="Work Sans" w:eastAsia="Times New Roman" w:hAnsi="Work Sans" w:cs="Times New Roman"/>
                <w:lang w:eastAsia="it-IT"/>
              </w:rPr>
              <w:t>ndi a</w:t>
            </w:r>
            <w:r w:rsidR="00FD2EC5" w:rsidRPr="00FD2EC5">
              <w:rPr>
                <w:rFonts w:ascii="Work Sans" w:eastAsia="Times New Roman" w:hAnsi="Work Sans" w:cs="Times New Roman"/>
                <w:lang w:eastAsia="it-IT"/>
              </w:rPr>
              <w:t xml:space="preserve"> fine ciclo </w:t>
            </w:r>
            <w:r w:rsidRPr="00E245D9">
              <w:rPr>
                <w:rFonts w:ascii="Work Sans" w:eastAsia="Times New Roman" w:hAnsi="Work Sans" w:cs="Times New Roman"/>
                <w:lang w:eastAsia="it-IT"/>
              </w:rPr>
              <w:t>_______________________________</w:t>
            </w:r>
          </w:p>
          <w:p w14:paraId="5113A9A6" w14:textId="77777777" w:rsidR="00CC17FA" w:rsidRPr="00E245D9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</w:p>
          <w:p w14:paraId="7A602D14" w14:textId="4D26CAA2" w:rsidR="00CC17FA" w:rsidRPr="00E245D9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  <w:r w:rsidRPr="00E245D9">
              <w:rPr>
                <w:rFonts w:ascii="Work Sans" w:eastAsia="Times New Roman" w:hAnsi="Work Sans" w:cs="Times New Roman"/>
                <w:lang w:eastAsia="it-IT"/>
              </w:rPr>
              <w:t>Curricula</w:t>
            </w:r>
            <w:r w:rsidR="006913F0">
              <w:rPr>
                <w:rFonts w:ascii="Work Sans" w:eastAsia="Times New Roman" w:hAnsi="Work Sans" w:cs="Times New Roman"/>
                <w:lang w:eastAsia="it-IT"/>
              </w:rPr>
              <w:t xml:space="preserve"> </w:t>
            </w:r>
            <w:r w:rsidR="006913F0" w:rsidRPr="00BC5835">
              <w:rPr>
                <w:rFonts w:ascii="Work Sans" w:eastAsia="Times New Roman" w:hAnsi="Work Sans" w:cs="Times New Roman"/>
                <w:lang w:eastAsia="it-IT"/>
              </w:rPr>
              <w:t>(</w:t>
            </w:r>
            <w:r w:rsidR="006913F0" w:rsidRPr="00BC5835">
              <w:rPr>
                <w:rFonts w:ascii="Work Sans" w:eastAsia="Times New Roman" w:hAnsi="Work Sans" w:cs="Times New Roman"/>
                <w:i/>
                <w:lang w:eastAsia="it-IT"/>
              </w:rPr>
              <w:t>ove previsti</w:t>
            </w:r>
            <w:r w:rsidR="006913F0" w:rsidRPr="00BC5835">
              <w:rPr>
                <w:rFonts w:ascii="Work Sans" w:eastAsia="Times New Roman" w:hAnsi="Work Sans" w:cs="Times New Roman"/>
                <w:lang w:eastAsia="it-IT"/>
              </w:rPr>
              <w:t>)</w:t>
            </w:r>
          </w:p>
          <w:p w14:paraId="56AE480F" w14:textId="77777777" w:rsidR="00CC17FA" w:rsidRPr="00E245D9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  <w:r w:rsidRPr="00E245D9">
              <w:rPr>
                <w:rFonts w:ascii="Work Sans" w:eastAsia="Times New Roman" w:hAnsi="Work Sans" w:cs="Times New Roman"/>
                <w:lang w:eastAsia="it-IT"/>
              </w:rPr>
              <w:t>1)_________________________</w:t>
            </w:r>
          </w:p>
          <w:p w14:paraId="770F4196" w14:textId="77777777" w:rsidR="00CC17FA" w:rsidRPr="00E245D9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  <w:r w:rsidRPr="00E245D9">
              <w:rPr>
                <w:rFonts w:ascii="Work Sans" w:eastAsia="Times New Roman" w:hAnsi="Work Sans" w:cs="Times New Roman"/>
                <w:lang w:eastAsia="it-IT"/>
              </w:rPr>
              <w:t>2)_________________________</w:t>
            </w:r>
          </w:p>
          <w:p w14:paraId="1F54050A" w14:textId="77777777" w:rsidR="00CC17FA" w:rsidRPr="00E245D9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  <w:r w:rsidRPr="00E245D9">
              <w:rPr>
                <w:rFonts w:ascii="Work Sans" w:eastAsia="Times New Roman" w:hAnsi="Work Sans" w:cs="Times New Roman"/>
                <w:lang w:eastAsia="it-IT"/>
              </w:rPr>
              <w:t>3)_________________________</w:t>
            </w:r>
            <w:r w:rsidRPr="00E245D9">
              <w:rPr>
                <w:rFonts w:ascii="Work Sans" w:eastAsia="Times New Roman" w:hAnsi="Work Sans" w:cs="Times New Roman"/>
                <w:lang w:eastAsia="it-IT"/>
              </w:rPr>
              <w:softHyphen/>
            </w:r>
          </w:p>
          <w:p w14:paraId="6957E734" w14:textId="77777777" w:rsidR="00FD2EC5" w:rsidRDefault="00FD2EC5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</w:p>
          <w:p w14:paraId="755219AF" w14:textId="6821877E" w:rsidR="00CC17FA" w:rsidRPr="00E245D9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  <w:r w:rsidRPr="00E245D9">
              <w:rPr>
                <w:rFonts w:ascii="Work Sans" w:eastAsia="Times New Roman" w:hAnsi="Work Sans" w:cs="Times New Roman"/>
                <w:lang w:eastAsia="it-IT"/>
              </w:rPr>
              <w:t>Dipartimento ________________________</w:t>
            </w:r>
          </w:p>
          <w:p w14:paraId="69B05298" w14:textId="2CED8FF8" w:rsidR="00CC17FA" w:rsidRDefault="00E245D9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  <w:r w:rsidRPr="00E245D9">
              <w:rPr>
                <w:rFonts w:ascii="Work Sans" w:eastAsia="Times New Roman" w:hAnsi="Work Sans" w:cs="Times New Roman"/>
                <w:lang w:eastAsia="it-IT"/>
              </w:rPr>
              <w:t>Direttore</w:t>
            </w:r>
            <w:r w:rsidR="00CC17FA" w:rsidRPr="00E245D9">
              <w:rPr>
                <w:rFonts w:ascii="Work Sans" w:eastAsia="Times New Roman" w:hAnsi="Work Sans" w:cs="Times New Roman"/>
                <w:lang w:eastAsia="it-IT"/>
              </w:rPr>
              <w:t xml:space="preserve"> </w:t>
            </w:r>
            <w:r w:rsidRPr="00E245D9">
              <w:rPr>
                <w:rFonts w:ascii="Work Sans" w:eastAsia="Times New Roman" w:hAnsi="Work Sans" w:cs="Times New Roman"/>
                <w:lang w:eastAsia="it-IT"/>
              </w:rPr>
              <w:t>della SSP</w:t>
            </w:r>
            <w:r w:rsidR="00CC17FA" w:rsidRPr="00E245D9">
              <w:rPr>
                <w:rFonts w:ascii="Work Sans" w:eastAsia="Times New Roman" w:hAnsi="Work Sans" w:cs="Times New Roman"/>
                <w:lang w:eastAsia="it-IT"/>
              </w:rPr>
              <w:t xml:space="preserve"> ____________________________</w:t>
            </w:r>
          </w:p>
          <w:p w14:paraId="30B8E181" w14:textId="3A3364F6" w:rsidR="009C6C1F" w:rsidRDefault="009C6C1F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  <w:r>
              <w:rPr>
                <w:rFonts w:ascii="Work Sans" w:eastAsia="Times New Roman" w:hAnsi="Work Sans" w:cs="Times New Roman"/>
                <w:lang w:eastAsia="it-IT"/>
              </w:rPr>
              <w:t>RQ SSP _______________________________________</w:t>
            </w:r>
          </w:p>
          <w:p w14:paraId="2C5D9385" w14:textId="77777777" w:rsidR="00CC17FA" w:rsidRPr="00E245D9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</w:p>
          <w:p w14:paraId="1CF12A4A" w14:textId="60B50B48" w:rsidR="00CC17FA" w:rsidRPr="00E245D9" w:rsidRDefault="00CC17FA" w:rsidP="00CC17FA">
            <w:pPr>
              <w:spacing w:after="0" w:line="240" w:lineRule="auto"/>
              <w:rPr>
                <w:rFonts w:ascii="Work Sans" w:eastAsia="Times New Roman" w:hAnsi="Work Sans" w:cs="Lucida Sans Unicode"/>
                <w:b/>
                <w:color w:val="000000"/>
                <w:lang w:eastAsia="it-IT"/>
              </w:rPr>
            </w:pPr>
            <w:r w:rsidRPr="00E245D9">
              <w:rPr>
                <w:rFonts w:ascii="Work Sans" w:eastAsia="Times New Roman" w:hAnsi="Work Sans" w:cs="Lucida Sans Unicode"/>
                <w:color w:val="000000"/>
                <w:lang w:eastAsia="it-IT"/>
              </w:rPr>
              <w:t xml:space="preserve">Il </w:t>
            </w:r>
            <w:r w:rsidR="00E245D9" w:rsidRPr="00E245D9">
              <w:rPr>
                <w:rFonts w:ascii="Work Sans" w:eastAsia="Times New Roman" w:hAnsi="Work Sans" w:cs="Lucida Sans Unicode"/>
                <w:color w:val="000000"/>
                <w:lang w:eastAsia="it-IT"/>
              </w:rPr>
              <w:t>Consiglio della SSP</w:t>
            </w:r>
            <w:r w:rsidRPr="00E245D9">
              <w:rPr>
                <w:rFonts w:ascii="Work Sans" w:eastAsia="Times New Roman" w:hAnsi="Work Sans" w:cs="Lucida Sans Unicode"/>
                <w:color w:val="000000"/>
                <w:lang w:eastAsia="it-IT"/>
              </w:rPr>
              <w:t xml:space="preserve"> si è riunito per l’esame della relazione annuale nella/e seguente/i data/e: ______________________</w:t>
            </w:r>
            <w:r w:rsidR="009C6C1F">
              <w:rPr>
                <w:rFonts w:ascii="Work Sans" w:eastAsia="Times New Roman" w:hAnsi="Work Sans" w:cs="Lucida Sans Unicode"/>
                <w:color w:val="000000"/>
                <w:lang w:eastAsia="it-IT"/>
              </w:rPr>
              <w:t xml:space="preserve"> </w:t>
            </w:r>
            <w:r w:rsidRPr="00E245D9">
              <w:rPr>
                <w:rFonts w:ascii="Work Sans" w:eastAsia="Times New Roman" w:hAnsi="Work Sans" w:cs="Lucida Sans Unicode"/>
                <w:color w:val="000000"/>
                <w:lang w:eastAsia="it-IT"/>
              </w:rPr>
              <w:t>(</w:t>
            </w:r>
            <w:proofErr w:type="spellStart"/>
            <w:proofErr w:type="gramStart"/>
            <w:r w:rsidRPr="00E245D9">
              <w:rPr>
                <w:rFonts w:ascii="Work Sans" w:eastAsia="Times New Roman" w:hAnsi="Work Sans" w:cs="Lucida Sans Unicode"/>
                <w:color w:val="000000"/>
                <w:lang w:eastAsia="it-IT"/>
              </w:rPr>
              <w:t>gg.mm.aaaa</w:t>
            </w:r>
            <w:proofErr w:type="spellEnd"/>
            <w:proofErr w:type="gramEnd"/>
            <w:r w:rsidRPr="00E245D9">
              <w:rPr>
                <w:rFonts w:ascii="Work Sans" w:eastAsia="Times New Roman" w:hAnsi="Work Sans" w:cs="Lucida Sans Unicode"/>
                <w:color w:val="000000"/>
                <w:lang w:eastAsia="it-IT"/>
              </w:rPr>
              <w:t>)</w:t>
            </w:r>
          </w:p>
          <w:p w14:paraId="1C9A57A8" w14:textId="77777777" w:rsidR="00FD2EC5" w:rsidRDefault="00FD2EC5" w:rsidP="00CC17FA">
            <w:pPr>
              <w:spacing w:after="0" w:line="240" w:lineRule="auto"/>
              <w:rPr>
                <w:rFonts w:ascii="Work Sans" w:eastAsia="Times New Roman" w:hAnsi="Work Sans" w:cs="Lucida Sans Unicode"/>
                <w:color w:val="000000"/>
                <w:lang w:eastAsia="it-IT"/>
              </w:rPr>
            </w:pPr>
          </w:p>
          <w:p w14:paraId="6AF00B9B" w14:textId="18E8232E" w:rsidR="00CC17FA" w:rsidRPr="00E245D9" w:rsidRDefault="00CC17FA" w:rsidP="00CC17FA">
            <w:pPr>
              <w:spacing w:after="0" w:line="240" w:lineRule="auto"/>
              <w:rPr>
                <w:rFonts w:ascii="Work Sans" w:eastAsia="Times New Roman" w:hAnsi="Work Sans" w:cs="Lucida Sans Unicode"/>
                <w:b/>
                <w:color w:val="000000"/>
                <w:lang w:eastAsia="it-IT"/>
              </w:rPr>
            </w:pPr>
            <w:r w:rsidRPr="00E245D9">
              <w:rPr>
                <w:rFonts w:ascii="Work Sans" w:eastAsia="Times New Roman" w:hAnsi="Work Sans" w:cs="Lucida Sans Unicode"/>
                <w:color w:val="000000"/>
                <w:lang w:eastAsia="it-IT"/>
              </w:rPr>
              <w:t>Presentato, discusso e approvato in Consiglio di Dipartimento in data:</w:t>
            </w:r>
            <w:r w:rsidRPr="00E245D9">
              <w:rPr>
                <w:rFonts w:ascii="Work Sans" w:eastAsia="Times New Roman" w:hAnsi="Work Sans" w:cs="Lucida Sans Unicode"/>
                <w:b/>
                <w:color w:val="000000"/>
                <w:lang w:eastAsia="it-IT"/>
              </w:rPr>
              <w:t xml:space="preserve"> </w:t>
            </w:r>
            <w:r w:rsidRPr="00E245D9">
              <w:rPr>
                <w:rFonts w:ascii="Work Sans" w:eastAsia="Times New Roman" w:hAnsi="Work Sans" w:cs="Lucida Sans Unicode"/>
                <w:color w:val="000000"/>
                <w:lang w:eastAsia="it-IT"/>
              </w:rPr>
              <w:t>_____________________________ (</w:t>
            </w:r>
            <w:proofErr w:type="spellStart"/>
            <w:proofErr w:type="gramStart"/>
            <w:r w:rsidRPr="00E245D9">
              <w:rPr>
                <w:rFonts w:ascii="Work Sans" w:eastAsia="Times New Roman" w:hAnsi="Work Sans" w:cs="Lucida Sans Unicode"/>
                <w:color w:val="000000"/>
                <w:lang w:eastAsia="it-IT"/>
              </w:rPr>
              <w:t>gg.mm.aaaa</w:t>
            </w:r>
            <w:proofErr w:type="spellEnd"/>
            <w:proofErr w:type="gramEnd"/>
            <w:r w:rsidRPr="00E245D9">
              <w:rPr>
                <w:rFonts w:ascii="Work Sans" w:eastAsia="Times New Roman" w:hAnsi="Work Sans" w:cs="Lucida Sans Unicode"/>
                <w:color w:val="000000"/>
                <w:lang w:eastAsia="it-IT"/>
              </w:rPr>
              <w:t>)</w:t>
            </w:r>
          </w:p>
          <w:p w14:paraId="15FA3864" w14:textId="77777777" w:rsidR="00CC17FA" w:rsidRPr="00E245D9" w:rsidRDefault="00CC17FA" w:rsidP="00CC17FA">
            <w:pPr>
              <w:spacing w:after="0" w:line="240" w:lineRule="auto"/>
              <w:rPr>
                <w:rFonts w:ascii="Work Sans" w:eastAsia="Times New Roman" w:hAnsi="Work Sans" w:cs="Times New Roman"/>
                <w:lang w:eastAsia="it-IT"/>
              </w:rPr>
            </w:pPr>
          </w:p>
        </w:tc>
      </w:tr>
    </w:tbl>
    <w:p w14:paraId="555E375E" w14:textId="1C6A0813" w:rsidR="00586752" w:rsidRDefault="00586752" w:rsidP="00CC17FA">
      <w:pPr>
        <w:spacing w:after="0" w:line="240" w:lineRule="auto"/>
        <w:rPr>
          <w:rFonts w:ascii="Work Sans" w:eastAsia="Times New Roman" w:hAnsi="Work Sans" w:cs="Times New Roman"/>
          <w:lang w:eastAsia="it-IT"/>
        </w:rPr>
      </w:pPr>
    </w:p>
    <w:p w14:paraId="1ED72A85" w14:textId="77777777" w:rsidR="00586752" w:rsidRPr="00586752" w:rsidRDefault="00586752" w:rsidP="00586752">
      <w:pPr>
        <w:rPr>
          <w:rFonts w:ascii="Work Sans" w:eastAsia="Times New Roman" w:hAnsi="Work Sans" w:cs="Times New Roman"/>
          <w:lang w:eastAsia="it-IT"/>
        </w:rPr>
      </w:pPr>
    </w:p>
    <w:p w14:paraId="38392DC0" w14:textId="77777777" w:rsidR="00586752" w:rsidRPr="00586752" w:rsidRDefault="00586752" w:rsidP="00586752">
      <w:pPr>
        <w:rPr>
          <w:rFonts w:ascii="Work Sans" w:eastAsia="Times New Roman" w:hAnsi="Work Sans" w:cs="Times New Roman"/>
          <w:lang w:eastAsia="it-IT"/>
        </w:rPr>
      </w:pPr>
    </w:p>
    <w:p w14:paraId="1438F332" w14:textId="77777777" w:rsidR="00586752" w:rsidRPr="00586752" w:rsidRDefault="00586752" w:rsidP="00586752">
      <w:pPr>
        <w:rPr>
          <w:rFonts w:ascii="Work Sans" w:eastAsia="Times New Roman" w:hAnsi="Work Sans" w:cs="Times New Roman"/>
          <w:lang w:eastAsia="it-IT"/>
        </w:rPr>
      </w:pPr>
    </w:p>
    <w:p w14:paraId="2AF010F7" w14:textId="77777777" w:rsidR="00586752" w:rsidRPr="00586752" w:rsidRDefault="00586752" w:rsidP="00586752">
      <w:pPr>
        <w:rPr>
          <w:rFonts w:ascii="Work Sans" w:eastAsia="Times New Roman" w:hAnsi="Work Sans" w:cs="Times New Roman"/>
          <w:lang w:eastAsia="it-IT"/>
        </w:rPr>
      </w:pPr>
    </w:p>
    <w:p w14:paraId="441B7A11" w14:textId="77777777" w:rsidR="00586752" w:rsidRPr="00586752" w:rsidRDefault="00586752" w:rsidP="00586752">
      <w:pPr>
        <w:rPr>
          <w:rFonts w:ascii="Work Sans" w:eastAsia="Times New Roman" w:hAnsi="Work Sans" w:cs="Times New Roman"/>
          <w:lang w:eastAsia="it-IT"/>
        </w:rPr>
      </w:pPr>
    </w:p>
    <w:p w14:paraId="2AC49233" w14:textId="6D26B4A4" w:rsidR="00586752" w:rsidRDefault="00586752" w:rsidP="00586752">
      <w:pPr>
        <w:rPr>
          <w:rFonts w:ascii="Work Sans" w:eastAsia="Times New Roman" w:hAnsi="Work Sans" w:cs="Times New Roman"/>
          <w:lang w:eastAsia="it-IT"/>
        </w:rPr>
      </w:pPr>
    </w:p>
    <w:p w14:paraId="00ECE8F3" w14:textId="7512446F" w:rsidR="00586752" w:rsidRDefault="00586752" w:rsidP="00586752">
      <w:pPr>
        <w:tabs>
          <w:tab w:val="left" w:pos="4200"/>
        </w:tabs>
        <w:rPr>
          <w:rFonts w:ascii="Work Sans" w:eastAsia="Times New Roman" w:hAnsi="Work Sans" w:cs="Times New Roman"/>
          <w:lang w:eastAsia="it-IT"/>
        </w:rPr>
      </w:pPr>
      <w:r>
        <w:rPr>
          <w:rFonts w:ascii="Work Sans" w:eastAsia="Times New Roman" w:hAnsi="Work Sans" w:cs="Times New Roman"/>
          <w:lang w:eastAsia="it-IT"/>
        </w:rPr>
        <w:tab/>
      </w:r>
    </w:p>
    <w:p w14:paraId="58D84BF6" w14:textId="7CE6FD19" w:rsidR="00586752" w:rsidRDefault="00586752" w:rsidP="00586752">
      <w:pPr>
        <w:tabs>
          <w:tab w:val="left" w:pos="4200"/>
        </w:tabs>
        <w:rPr>
          <w:rFonts w:ascii="Work Sans" w:eastAsia="Times New Roman" w:hAnsi="Work Sans" w:cs="Times New Roman"/>
          <w:lang w:eastAsia="it-IT"/>
        </w:rPr>
      </w:pPr>
    </w:p>
    <w:p w14:paraId="44889507" w14:textId="46CA0B94" w:rsidR="00586752" w:rsidRDefault="00586752" w:rsidP="00586752">
      <w:pPr>
        <w:tabs>
          <w:tab w:val="left" w:pos="4200"/>
        </w:tabs>
        <w:rPr>
          <w:rFonts w:ascii="Work Sans" w:eastAsia="Times New Roman" w:hAnsi="Work Sans" w:cs="Times New Roman"/>
          <w:lang w:eastAsia="it-IT"/>
        </w:rPr>
      </w:pPr>
    </w:p>
    <w:p w14:paraId="3B1B0A62" w14:textId="0BEF26E8" w:rsidR="00CC17FA" w:rsidRPr="00586752" w:rsidRDefault="00CC17FA" w:rsidP="00586752">
      <w:pPr>
        <w:tabs>
          <w:tab w:val="left" w:pos="4200"/>
        </w:tabs>
        <w:rPr>
          <w:rFonts w:ascii="Work Sans" w:eastAsia="Times New Roman" w:hAnsi="Work Sans" w:cs="Times New Roman"/>
          <w:lang w:eastAsia="it-IT"/>
        </w:rPr>
        <w:sectPr w:rsidR="00CC17FA" w:rsidRPr="00586752" w:rsidSect="00D122C9">
          <w:pgSz w:w="11906" w:h="16838"/>
          <w:pgMar w:top="1418" w:right="992" w:bottom="1134" w:left="1134" w:header="709" w:footer="709" w:gutter="0"/>
          <w:cols w:space="708"/>
          <w:docGrid w:linePitch="360"/>
        </w:sectPr>
      </w:pPr>
    </w:p>
    <w:p w14:paraId="1A7F001F" w14:textId="262DE43B" w:rsidR="00CC17FA" w:rsidRPr="00E245D9" w:rsidRDefault="00CC17FA" w:rsidP="00CC17FA">
      <w:pPr>
        <w:numPr>
          <w:ilvl w:val="0"/>
          <w:numId w:val="12"/>
        </w:numPr>
        <w:shd w:val="clear" w:color="auto" w:fill="E6E6E6"/>
        <w:spacing w:after="120" w:line="216" w:lineRule="auto"/>
        <w:contextualSpacing/>
        <w:rPr>
          <w:rFonts w:ascii="Work Sans" w:eastAsia="Times New Roman" w:hAnsi="Work Sans" w:cs="Times New Roman"/>
          <w:b/>
          <w:bCs/>
          <w:lang w:eastAsia="it-IT"/>
        </w:rPr>
      </w:pPr>
      <w:bookmarkStart w:id="1" w:name="_Hlk117672556"/>
      <w:r w:rsidRPr="00E245D9">
        <w:rPr>
          <w:rFonts w:ascii="Work Sans" w:eastAsia="Times New Roman" w:hAnsi="Work Sans" w:cs="Times New Roman"/>
          <w:b/>
          <w:lang w:eastAsia="it-IT"/>
        </w:rPr>
        <w:lastRenderedPageBreak/>
        <w:t>Scheda di monitoraggio annuale (di fine ciclo</w:t>
      </w:r>
      <w:r w:rsidR="00BC5835">
        <w:rPr>
          <w:rFonts w:ascii="Work Sans" w:eastAsia="Times New Roman" w:hAnsi="Work Sans" w:cs="Times New Roman"/>
          <w:b/>
          <w:lang w:eastAsia="it-IT"/>
        </w:rPr>
        <w:t>/coorte</w:t>
      </w:r>
      <w:r w:rsidRPr="00E245D9">
        <w:rPr>
          <w:rFonts w:ascii="Work Sans" w:eastAsia="Times New Roman" w:hAnsi="Work Sans" w:cs="Times New Roman"/>
          <w:b/>
          <w:lang w:eastAsia="it-IT"/>
        </w:rPr>
        <w:t>) ai fini del riesame</w:t>
      </w:r>
    </w:p>
    <w:p w14:paraId="1534591D" w14:textId="77777777" w:rsidR="00CC17FA" w:rsidRPr="00E245D9" w:rsidRDefault="00CC17FA" w:rsidP="00CC17FA">
      <w:pPr>
        <w:spacing w:after="0" w:line="216" w:lineRule="auto"/>
        <w:rPr>
          <w:rFonts w:ascii="Work Sans" w:eastAsia="Times New Roman" w:hAnsi="Work Sans" w:cs="Times New Roman"/>
          <w:b/>
          <w:bCs/>
          <w:lang w:eastAsia="it-IT"/>
        </w:rPr>
      </w:pPr>
      <w:r w:rsidRPr="00E245D9">
        <w:rPr>
          <w:rFonts w:ascii="Work Sans" w:eastAsia="Times New Roman" w:hAnsi="Work Sans" w:cs="Times New Roman"/>
          <w:i/>
          <w:iCs/>
          <w:lang w:eastAsia="it-IT"/>
        </w:rPr>
        <w:t>Gli indicatori si riferiscono al ciclo appena concluso.</w:t>
      </w:r>
    </w:p>
    <w:bookmarkEnd w:id="1"/>
    <w:p w14:paraId="144B7BB0" w14:textId="20786AB4" w:rsidR="00CC17FA" w:rsidRDefault="00CC17FA" w:rsidP="00CC17FA">
      <w:pPr>
        <w:spacing w:after="0" w:line="240" w:lineRule="auto"/>
        <w:rPr>
          <w:rFonts w:ascii="Work Sans" w:eastAsia="Times New Roman" w:hAnsi="Work Sans" w:cs="Calibri"/>
          <w:lang w:eastAsia="it-IT"/>
        </w:rPr>
      </w:pPr>
    </w:p>
    <w:p w14:paraId="7AECA47C" w14:textId="16D190AE" w:rsidR="00735A49" w:rsidRPr="001A7EEB" w:rsidRDefault="00735A49" w:rsidP="00735A49">
      <w:pPr>
        <w:shd w:val="clear" w:color="auto" w:fill="FFFFFF" w:themeFill="background1"/>
        <w:spacing w:after="0"/>
        <w:jc w:val="both"/>
        <w:rPr>
          <w:rFonts w:ascii="Work Sans" w:hAnsi="Work Sans"/>
          <w:b/>
        </w:rPr>
      </w:pPr>
      <w:r>
        <w:rPr>
          <w:rFonts w:ascii="Work Sans" w:hAnsi="Work Sans"/>
          <w:b/>
        </w:rPr>
        <w:t xml:space="preserve">Visione </w:t>
      </w:r>
      <w:r w:rsidRPr="001A7EEB">
        <w:rPr>
          <w:rFonts w:ascii="Work Sans" w:hAnsi="Work Sans"/>
          <w:b/>
        </w:rPr>
        <w:t xml:space="preserve">della qualità della didattica, della ricerca e della terza missione/impatto sociale </w:t>
      </w:r>
      <w:r>
        <w:rPr>
          <w:rFonts w:ascii="Work Sans" w:hAnsi="Work Sans"/>
          <w:b/>
        </w:rPr>
        <w:t>della SSP</w:t>
      </w:r>
    </w:p>
    <w:tbl>
      <w:tblPr>
        <w:tblStyle w:val="Grigliatabella"/>
        <w:tblW w:w="9903" w:type="dxa"/>
        <w:tblLook w:val="04A0" w:firstRow="1" w:lastRow="0" w:firstColumn="1" w:lastColumn="0" w:noHBand="0" w:noVBand="1"/>
      </w:tblPr>
      <w:tblGrid>
        <w:gridCol w:w="3671"/>
        <w:gridCol w:w="1766"/>
        <w:gridCol w:w="1499"/>
        <w:gridCol w:w="2967"/>
      </w:tblGrid>
      <w:tr w:rsidR="00A1633F" w:rsidRPr="00A1633F" w14:paraId="6009E476" w14:textId="77777777" w:rsidTr="00E70186">
        <w:tc>
          <w:tcPr>
            <w:tcW w:w="367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6408102" w14:textId="2698A421" w:rsidR="00936193" w:rsidRPr="00A1633F" w:rsidRDefault="00936193" w:rsidP="00735A49">
            <w:pPr>
              <w:jc w:val="both"/>
              <w:rPr>
                <w:rFonts w:ascii="Work Sans" w:hAnsi="Work Sans"/>
                <w:b/>
              </w:rPr>
            </w:pPr>
            <w:r w:rsidRPr="00A1633F">
              <w:rPr>
                <w:rFonts w:ascii="Work Sans" w:hAnsi="Work Sans"/>
                <w:b/>
              </w:rPr>
              <w:t>Indicatori</w:t>
            </w:r>
          </w:p>
        </w:tc>
        <w:tc>
          <w:tcPr>
            <w:tcW w:w="176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345C8CA" w14:textId="379DC1F6" w:rsidR="00936193" w:rsidRPr="00A1633F" w:rsidRDefault="00936193" w:rsidP="009E299F">
            <w:pPr>
              <w:jc w:val="both"/>
              <w:rPr>
                <w:rFonts w:ascii="Work Sans" w:hAnsi="Work Sans"/>
                <w:b/>
              </w:rPr>
            </w:pPr>
            <w:r w:rsidRPr="00A1633F">
              <w:rPr>
                <w:rFonts w:ascii="Work Sans" w:hAnsi="Work Sans"/>
                <w:b/>
              </w:rPr>
              <w:t>Documento di riferimento</w:t>
            </w:r>
          </w:p>
        </w:tc>
        <w:tc>
          <w:tcPr>
            <w:tcW w:w="149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3A1EF2F" w14:textId="026F2639" w:rsidR="00936193" w:rsidRPr="00A1633F" w:rsidRDefault="00936193" w:rsidP="009E299F">
            <w:pPr>
              <w:jc w:val="both"/>
              <w:rPr>
                <w:rFonts w:ascii="Work Sans" w:hAnsi="Work Sans"/>
                <w:b/>
              </w:rPr>
            </w:pPr>
            <w:r w:rsidRPr="00A1633F">
              <w:rPr>
                <w:rFonts w:ascii="Work Sans" w:hAnsi="Work Sans"/>
                <w:b/>
              </w:rPr>
              <w:t>Valutazione</w:t>
            </w:r>
          </w:p>
        </w:tc>
        <w:tc>
          <w:tcPr>
            <w:tcW w:w="296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661C686" w14:textId="6EBB049F" w:rsidR="00936193" w:rsidRPr="00A1633F" w:rsidRDefault="00936193" w:rsidP="00735A49">
            <w:pPr>
              <w:jc w:val="both"/>
              <w:rPr>
                <w:rFonts w:ascii="Work Sans" w:hAnsi="Work Sans"/>
                <w:b/>
              </w:rPr>
            </w:pPr>
            <w:r w:rsidRPr="00A1633F">
              <w:rPr>
                <w:rFonts w:ascii="Work Sans" w:hAnsi="Work Sans"/>
                <w:b/>
              </w:rPr>
              <w:t>Commento</w:t>
            </w:r>
          </w:p>
        </w:tc>
      </w:tr>
      <w:tr w:rsidR="00DA08B3" w:rsidRPr="00A1633F" w14:paraId="7A6D4216" w14:textId="77777777" w:rsidTr="00E70186">
        <w:tc>
          <w:tcPr>
            <w:tcW w:w="367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B2524FB" w14:textId="40CD4BF4" w:rsidR="00DA08B3" w:rsidRPr="00A1633F" w:rsidRDefault="00DA08B3" w:rsidP="00735A49">
            <w:pPr>
              <w:jc w:val="both"/>
              <w:rPr>
                <w:rFonts w:ascii="Work Sans" w:hAnsi="Work Sans"/>
                <w:b/>
              </w:rPr>
            </w:pPr>
            <w:r w:rsidRPr="00A1633F">
              <w:rPr>
                <w:rFonts w:ascii="Work Sans" w:eastAsia="Calibri" w:hAnsi="Work Sans" w:cs="Calibri"/>
              </w:rPr>
              <w:t xml:space="preserve">Livello di dettaglio della descrizione </w:t>
            </w:r>
            <w:r>
              <w:rPr>
                <w:rFonts w:ascii="Work Sans" w:eastAsia="Calibri" w:hAnsi="Work Sans" w:cs="Calibri"/>
              </w:rPr>
              <w:t>d</w:t>
            </w:r>
            <w:r w:rsidRPr="001970EA">
              <w:rPr>
                <w:rFonts w:ascii="Work Sans" w:eastAsia="Calibri" w:hAnsi="Work Sans" w:cs="Calibri"/>
              </w:rPr>
              <w:t>ei percorsi formativi con la definizione dei loro obiettivi</w:t>
            </w:r>
            <w:r>
              <w:rPr>
                <w:rFonts w:ascii="Work Sans" w:eastAsia="Calibri" w:hAnsi="Work Sans" w:cs="Calibri"/>
              </w:rPr>
              <w:t xml:space="preserve"> </w:t>
            </w:r>
            <w:r w:rsidRPr="00A1633F">
              <w:rPr>
                <w:rFonts w:ascii="Work Sans" w:eastAsia="Calibri" w:hAnsi="Work Sans" w:cs="Calibri"/>
              </w:rPr>
              <w:t>(1. Molto basso -2. Basso – 3. Medio – 4. Alto - 5. Molto alto)</w:t>
            </w:r>
          </w:p>
        </w:tc>
        <w:tc>
          <w:tcPr>
            <w:tcW w:w="176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B0896B6" w14:textId="1EB8C376" w:rsidR="00DA08B3" w:rsidRPr="00DA08B3" w:rsidRDefault="00DA08B3" w:rsidP="009E299F">
            <w:pPr>
              <w:jc w:val="both"/>
              <w:rPr>
                <w:rFonts w:ascii="Work Sans" w:hAnsi="Work Sans"/>
                <w:i/>
                <w:sz w:val="16"/>
                <w:szCs w:val="16"/>
              </w:rPr>
            </w:pPr>
            <w:r w:rsidRPr="00DA08B3">
              <w:rPr>
                <w:rFonts w:ascii="Work Sans" w:hAnsi="Work Sans"/>
                <w:i/>
                <w:sz w:val="16"/>
                <w:szCs w:val="16"/>
              </w:rPr>
              <w:t>(Fare riferimento al Regolamento didattico)</w:t>
            </w:r>
          </w:p>
        </w:tc>
        <w:tc>
          <w:tcPr>
            <w:tcW w:w="149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38AA2AD" w14:textId="77777777" w:rsidR="00DA08B3" w:rsidRPr="00A1633F" w:rsidRDefault="00DA08B3" w:rsidP="009E299F">
            <w:pPr>
              <w:jc w:val="both"/>
              <w:rPr>
                <w:rFonts w:ascii="Work Sans" w:hAnsi="Work Sans"/>
                <w:b/>
              </w:rPr>
            </w:pPr>
          </w:p>
        </w:tc>
        <w:tc>
          <w:tcPr>
            <w:tcW w:w="296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88FA9AE" w14:textId="77777777" w:rsidR="00DA08B3" w:rsidRPr="00A1633F" w:rsidRDefault="00DA08B3" w:rsidP="00735A49">
            <w:pPr>
              <w:jc w:val="both"/>
              <w:rPr>
                <w:rFonts w:ascii="Work Sans" w:hAnsi="Work Sans"/>
                <w:b/>
              </w:rPr>
            </w:pPr>
          </w:p>
        </w:tc>
      </w:tr>
      <w:tr w:rsidR="00A1633F" w:rsidRPr="00A1633F" w14:paraId="09D6E745" w14:textId="77777777" w:rsidTr="00E70186">
        <w:tc>
          <w:tcPr>
            <w:tcW w:w="367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68E5E47" w14:textId="415DAAA3" w:rsidR="00936193" w:rsidRPr="00A1633F" w:rsidRDefault="00586752" w:rsidP="00735A49">
            <w:pPr>
              <w:jc w:val="both"/>
              <w:rPr>
                <w:rFonts w:ascii="Work Sans" w:hAnsi="Work Sans"/>
              </w:rPr>
            </w:pPr>
            <w:r w:rsidRPr="00A1633F">
              <w:rPr>
                <w:rFonts w:ascii="Work Sans" w:eastAsia="Calibri" w:hAnsi="Work Sans" w:cs="Calibri"/>
              </w:rPr>
              <w:t>Livello di approfondimento delle motivazioni, potenzialità ed aggiornamento del progetto formativo (1. Molto basso -2. Basso – 3. Medio – 4. Alto - 5. Molto alto)</w:t>
            </w:r>
          </w:p>
        </w:tc>
        <w:tc>
          <w:tcPr>
            <w:tcW w:w="176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C8421A1" w14:textId="77777777" w:rsidR="00936193" w:rsidRPr="00A1633F" w:rsidRDefault="00936193" w:rsidP="009E299F">
            <w:pPr>
              <w:jc w:val="center"/>
              <w:rPr>
                <w:rFonts w:ascii="Work Sans" w:hAnsi="Work Sans"/>
              </w:rPr>
            </w:pPr>
          </w:p>
        </w:tc>
        <w:tc>
          <w:tcPr>
            <w:tcW w:w="149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EC3BAB6" w14:textId="6734B802" w:rsidR="00936193" w:rsidRPr="00A1633F" w:rsidRDefault="00936193" w:rsidP="009E299F">
            <w:pPr>
              <w:jc w:val="center"/>
              <w:rPr>
                <w:rFonts w:ascii="Work Sans" w:hAnsi="Work Sans"/>
              </w:rPr>
            </w:pPr>
          </w:p>
        </w:tc>
        <w:tc>
          <w:tcPr>
            <w:tcW w:w="296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5DEA7C4" w14:textId="77777777" w:rsidR="00936193" w:rsidRPr="00A1633F" w:rsidRDefault="00936193" w:rsidP="00735A49">
            <w:pPr>
              <w:jc w:val="both"/>
              <w:rPr>
                <w:rFonts w:ascii="Work Sans" w:hAnsi="Work Sans"/>
              </w:rPr>
            </w:pPr>
          </w:p>
        </w:tc>
      </w:tr>
      <w:tr w:rsidR="00A1633F" w:rsidRPr="00A1633F" w14:paraId="4A69158B" w14:textId="77777777" w:rsidTr="00E70186">
        <w:tc>
          <w:tcPr>
            <w:tcW w:w="367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472E61C" w14:textId="5FB8B9BE" w:rsidR="00936193" w:rsidRPr="00A1633F" w:rsidRDefault="00586752" w:rsidP="00735A49">
            <w:pPr>
              <w:jc w:val="both"/>
              <w:rPr>
                <w:rFonts w:ascii="Work Sans" w:hAnsi="Work Sans"/>
                <w:color w:val="2F5496" w:themeColor="accent1" w:themeShade="BF"/>
              </w:rPr>
            </w:pPr>
            <w:r w:rsidRPr="00A1633F">
              <w:rPr>
                <w:rFonts w:ascii="Work Sans" w:eastAsia="Calibri" w:hAnsi="Work Sans" w:cs="Calibri"/>
              </w:rPr>
              <w:t>Livello di coerenza tra gli obiettivi formativi e le risorse disponibili (1. Molto basso -2. Basso – 3. Medio – 4. Alto - 5. Molto alto)</w:t>
            </w:r>
          </w:p>
        </w:tc>
        <w:tc>
          <w:tcPr>
            <w:tcW w:w="176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8510EB3" w14:textId="77777777" w:rsidR="00936193" w:rsidRPr="00A1633F" w:rsidRDefault="00936193" w:rsidP="009E299F">
            <w:pPr>
              <w:jc w:val="center"/>
              <w:rPr>
                <w:rFonts w:ascii="Work Sans" w:hAnsi="Work Sans"/>
                <w:color w:val="2F5496" w:themeColor="accent1" w:themeShade="BF"/>
              </w:rPr>
            </w:pPr>
          </w:p>
        </w:tc>
        <w:tc>
          <w:tcPr>
            <w:tcW w:w="149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6F281D0" w14:textId="240B15D3" w:rsidR="00936193" w:rsidRPr="00A1633F" w:rsidRDefault="00936193" w:rsidP="009E299F">
            <w:pPr>
              <w:jc w:val="center"/>
              <w:rPr>
                <w:rFonts w:ascii="Work Sans" w:hAnsi="Work Sans"/>
                <w:color w:val="2F5496" w:themeColor="accent1" w:themeShade="BF"/>
              </w:rPr>
            </w:pPr>
          </w:p>
        </w:tc>
        <w:tc>
          <w:tcPr>
            <w:tcW w:w="296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06AC088" w14:textId="77777777" w:rsidR="00936193" w:rsidRPr="00A1633F" w:rsidRDefault="00936193" w:rsidP="00735A49">
            <w:pPr>
              <w:jc w:val="both"/>
              <w:rPr>
                <w:rFonts w:ascii="Work Sans" w:hAnsi="Work Sans"/>
                <w:color w:val="2F5496" w:themeColor="accent1" w:themeShade="BF"/>
              </w:rPr>
            </w:pPr>
          </w:p>
        </w:tc>
      </w:tr>
      <w:tr w:rsidR="0005095C" w:rsidRPr="00A1633F" w14:paraId="6FA12F55" w14:textId="77777777" w:rsidTr="00E70186">
        <w:tc>
          <w:tcPr>
            <w:tcW w:w="367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C618583" w14:textId="5E82D205" w:rsidR="00586752" w:rsidRPr="00A1633F" w:rsidRDefault="0005095C" w:rsidP="00735A49">
            <w:pPr>
              <w:jc w:val="both"/>
              <w:rPr>
                <w:rFonts w:ascii="Work Sans" w:eastAsia="Calibri" w:hAnsi="Work Sans" w:cs="Calibri"/>
              </w:rPr>
            </w:pPr>
            <w:r w:rsidRPr="00A1633F">
              <w:rPr>
                <w:rFonts w:ascii="Work Sans" w:eastAsia="Calibri" w:hAnsi="Work Sans" w:cs="Calibri"/>
              </w:rPr>
              <w:t xml:space="preserve">Presenza di attività periodiche di </w:t>
            </w:r>
            <w:r w:rsidR="00586752" w:rsidRPr="00A1633F">
              <w:rPr>
                <w:rFonts w:ascii="Work Sans" w:eastAsia="Calibri" w:hAnsi="Work Sans" w:cs="Calibri"/>
              </w:rPr>
              <w:t>consultazion</w:t>
            </w:r>
            <w:r w:rsidRPr="00A1633F">
              <w:rPr>
                <w:rFonts w:ascii="Work Sans" w:eastAsia="Calibri" w:hAnsi="Work Sans" w:cs="Calibri"/>
              </w:rPr>
              <w:t>e</w:t>
            </w:r>
            <w:r w:rsidR="00586752" w:rsidRPr="00A1633F">
              <w:rPr>
                <w:rFonts w:ascii="Work Sans" w:eastAsia="Calibri" w:hAnsi="Work Sans" w:cs="Calibri"/>
              </w:rPr>
              <w:t xml:space="preserve"> con parti interessate </w:t>
            </w:r>
            <w:r w:rsidRPr="00A1633F">
              <w:rPr>
                <w:rFonts w:ascii="Work Sans" w:eastAsia="Calibri" w:hAnsi="Work Sans" w:cs="Calibri"/>
              </w:rPr>
              <w:t>(S/N)</w:t>
            </w:r>
          </w:p>
        </w:tc>
        <w:tc>
          <w:tcPr>
            <w:tcW w:w="176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44BB0EE" w14:textId="77777777" w:rsidR="00586752" w:rsidRPr="00A1633F" w:rsidRDefault="00586752" w:rsidP="009E299F">
            <w:pPr>
              <w:jc w:val="center"/>
              <w:rPr>
                <w:rFonts w:ascii="Work Sans" w:hAnsi="Work Sans"/>
                <w:color w:val="2F5496" w:themeColor="accent1" w:themeShade="BF"/>
              </w:rPr>
            </w:pPr>
          </w:p>
        </w:tc>
        <w:tc>
          <w:tcPr>
            <w:tcW w:w="149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6CF7918" w14:textId="77777777" w:rsidR="00586752" w:rsidRPr="00A1633F" w:rsidRDefault="00586752" w:rsidP="009E299F">
            <w:pPr>
              <w:jc w:val="center"/>
              <w:rPr>
                <w:rFonts w:ascii="Work Sans" w:hAnsi="Work Sans"/>
                <w:color w:val="2F5496" w:themeColor="accent1" w:themeShade="BF"/>
              </w:rPr>
            </w:pPr>
          </w:p>
        </w:tc>
        <w:tc>
          <w:tcPr>
            <w:tcW w:w="296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065775F" w14:textId="77777777" w:rsidR="00586752" w:rsidRPr="00A1633F" w:rsidRDefault="00586752" w:rsidP="00735A49">
            <w:pPr>
              <w:jc w:val="both"/>
              <w:rPr>
                <w:rFonts w:ascii="Work Sans" w:hAnsi="Work Sans"/>
                <w:color w:val="2F5496" w:themeColor="accent1" w:themeShade="BF"/>
              </w:rPr>
            </w:pPr>
          </w:p>
        </w:tc>
      </w:tr>
      <w:tr w:rsidR="0005095C" w:rsidRPr="00A1633F" w14:paraId="0BEE61DE" w14:textId="77777777" w:rsidTr="00E70186">
        <w:tc>
          <w:tcPr>
            <w:tcW w:w="367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FECB1D4" w14:textId="1F3DE7FC" w:rsidR="00586752" w:rsidRPr="00A1633F" w:rsidRDefault="00586752" w:rsidP="00735A49">
            <w:pPr>
              <w:jc w:val="both"/>
              <w:rPr>
                <w:rFonts w:ascii="Work Sans" w:hAnsi="Work Sans"/>
                <w:color w:val="2F5496" w:themeColor="accent1" w:themeShade="BF"/>
              </w:rPr>
            </w:pPr>
            <w:r w:rsidRPr="00A1633F">
              <w:rPr>
                <w:rFonts w:ascii="Work Sans" w:eastAsia="Calibri" w:hAnsi="Work Sans" w:cs="Calibri"/>
              </w:rPr>
              <w:t xml:space="preserve">Livello di coerenza tra Scuola di Specializzazione e pianificazione strategica di </w:t>
            </w:r>
            <w:r w:rsidR="0005095C" w:rsidRPr="00A1633F">
              <w:rPr>
                <w:rFonts w:ascii="Work Sans" w:eastAsia="Calibri" w:hAnsi="Work Sans" w:cs="Calibri"/>
              </w:rPr>
              <w:t>A</w:t>
            </w:r>
            <w:r w:rsidRPr="00A1633F">
              <w:rPr>
                <w:rFonts w:ascii="Work Sans" w:eastAsia="Calibri" w:hAnsi="Work Sans" w:cs="Calibri"/>
              </w:rPr>
              <w:t>teneo (1. Molto basso -2. Basso – 3. Medio – 4. Alto - 5. Molto alto)</w:t>
            </w:r>
          </w:p>
        </w:tc>
        <w:tc>
          <w:tcPr>
            <w:tcW w:w="176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66EDB39" w14:textId="77777777" w:rsidR="00586752" w:rsidRPr="00A1633F" w:rsidRDefault="00586752" w:rsidP="009E299F">
            <w:pPr>
              <w:jc w:val="center"/>
              <w:rPr>
                <w:rFonts w:ascii="Work Sans" w:hAnsi="Work Sans"/>
                <w:color w:val="2F5496" w:themeColor="accent1" w:themeShade="BF"/>
              </w:rPr>
            </w:pPr>
          </w:p>
        </w:tc>
        <w:tc>
          <w:tcPr>
            <w:tcW w:w="149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5DCDEF2" w14:textId="77777777" w:rsidR="00586752" w:rsidRPr="00A1633F" w:rsidRDefault="00586752" w:rsidP="009E299F">
            <w:pPr>
              <w:jc w:val="center"/>
              <w:rPr>
                <w:rFonts w:ascii="Work Sans" w:hAnsi="Work Sans"/>
                <w:color w:val="2F5496" w:themeColor="accent1" w:themeShade="BF"/>
              </w:rPr>
            </w:pPr>
          </w:p>
        </w:tc>
        <w:tc>
          <w:tcPr>
            <w:tcW w:w="296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561971A" w14:textId="77777777" w:rsidR="00586752" w:rsidRPr="00A1633F" w:rsidRDefault="00586752" w:rsidP="00735A49">
            <w:pPr>
              <w:jc w:val="both"/>
              <w:rPr>
                <w:rFonts w:ascii="Work Sans" w:hAnsi="Work Sans"/>
                <w:color w:val="2F5496" w:themeColor="accent1" w:themeShade="BF"/>
              </w:rPr>
            </w:pPr>
          </w:p>
        </w:tc>
      </w:tr>
      <w:tr w:rsidR="004E66B7" w:rsidRPr="00A1633F" w14:paraId="078F8267" w14:textId="77777777" w:rsidTr="00E70186">
        <w:tc>
          <w:tcPr>
            <w:tcW w:w="367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BA637C7" w14:textId="1D45E6D4" w:rsidR="004E66B7" w:rsidRPr="00A1633F" w:rsidRDefault="004E66B7" w:rsidP="00735A49">
            <w:pPr>
              <w:jc w:val="both"/>
              <w:rPr>
                <w:rFonts w:ascii="Work Sans" w:eastAsia="Calibri" w:hAnsi="Work Sans" w:cs="Calibri"/>
              </w:rPr>
            </w:pPr>
            <w:r w:rsidRPr="00A1633F">
              <w:rPr>
                <w:rFonts w:ascii="Work Sans" w:eastAsia="Calibri" w:hAnsi="Work Sans" w:cs="Calibri"/>
              </w:rPr>
              <w:t>Livello di coerenza tra Scuola di Specializzazione e pianificazione strategica di Dipartimento</w:t>
            </w:r>
            <w:r w:rsidR="00D27F1E">
              <w:rPr>
                <w:rFonts w:ascii="Work Sans" w:eastAsia="Calibri" w:hAnsi="Work Sans" w:cs="Calibri"/>
              </w:rPr>
              <w:t xml:space="preserve"> </w:t>
            </w:r>
            <w:r w:rsidRPr="00A1633F">
              <w:rPr>
                <w:rFonts w:ascii="Work Sans" w:eastAsia="Calibri" w:hAnsi="Work Sans" w:cs="Calibri"/>
              </w:rPr>
              <w:t>(1. Molto basso -2. Basso – 3. Medio – 4. Alto - 5. Molto alto)</w:t>
            </w:r>
          </w:p>
        </w:tc>
        <w:tc>
          <w:tcPr>
            <w:tcW w:w="176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2B6C5DB" w14:textId="77777777" w:rsidR="004E66B7" w:rsidRPr="00A1633F" w:rsidRDefault="004E66B7" w:rsidP="009E299F">
            <w:pPr>
              <w:jc w:val="center"/>
              <w:rPr>
                <w:rFonts w:ascii="Work Sans" w:hAnsi="Work Sans"/>
                <w:color w:val="2F5496" w:themeColor="accent1" w:themeShade="BF"/>
              </w:rPr>
            </w:pPr>
          </w:p>
        </w:tc>
        <w:tc>
          <w:tcPr>
            <w:tcW w:w="149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8D12001" w14:textId="77777777" w:rsidR="004E66B7" w:rsidRPr="00A1633F" w:rsidRDefault="004E66B7" w:rsidP="009E299F">
            <w:pPr>
              <w:jc w:val="center"/>
              <w:rPr>
                <w:rFonts w:ascii="Work Sans" w:hAnsi="Work Sans"/>
                <w:color w:val="2F5496" w:themeColor="accent1" w:themeShade="BF"/>
              </w:rPr>
            </w:pPr>
          </w:p>
        </w:tc>
        <w:tc>
          <w:tcPr>
            <w:tcW w:w="296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9C577BD" w14:textId="77777777" w:rsidR="004E66B7" w:rsidRPr="00A1633F" w:rsidRDefault="004E66B7" w:rsidP="00735A49">
            <w:pPr>
              <w:jc w:val="both"/>
              <w:rPr>
                <w:rFonts w:ascii="Work Sans" w:hAnsi="Work Sans"/>
                <w:color w:val="2F5496" w:themeColor="accent1" w:themeShade="BF"/>
              </w:rPr>
            </w:pPr>
          </w:p>
        </w:tc>
      </w:tr>
    </w:tbl>
    <w:p w14:paraId="76B38D37" w14:textId="77777777" w:rsidR="00E70186" w:rsidRDefault="00E70186" w:rsidP="00735A49">
      <w:pPr>
        <w:spacing w:after="0"/>
        <w:rPr>
          <w:rFonts w:ascii="Work Sans" w:hAnsi="Work Sans"/>
          <w:i/>
          <w:sz w:val="18"/>
          <w:szCs w:val="18"/>
        </w:rPr>
      </w:pPr>
    </w:p>
    <w:p w14:paraId="3E2FEBA8" w14:textId="339859A3" w:rsidR="00735A49" w:rsidRPr="00DF76D9" w:rsidRDefault="00735A49" w:rsidP="00735A49">
      <w:pPr>
        <w:spacing w:after="0"/>
        <w:rPr>
          <w:rFonts w:ascii="Work Sans" w:hAnsi="Work Sans"/>
          <w:i/>
          <w:sz w:val="18"/>
          <w:szCs w:val="18"/>
        </w:rPr>
      </w:pPr>
      <w:r w:rsidRPr="00DF76D9">
        <w:rPr>
          <w:rFonts w:ascii="Work Sans" w:hAnsi="Work Sans"/>
          <w:i/>
          <w:sz w:val="18"/>
          <w:szCs w:val="18"/>
        </w:rPr>
        <w:t>Approfondimento ANVUR AVA 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735A49" w:rsidRPr="00A1633F" w14:paraId="1FA4BFC1" w14:textId="77777777" w:rsidTr="00735A49">
        <w:tc>
          <w:tcPr>
            <w:tcW w:w="9770" w:type="dxa"/>
          </w:tcPr>
          <w:p w14:paraId="7B77924F" w14:textId="77777777" w:rsidR="00735A49" w:rsidRPr="00A1633F" w:rsidRDefault="00735A49" w:rsidP="00735A49">
            <w:pPr>
              <w:shd w:val="clear" w:color="auto" w:fill="FFFFFF"/>
              <w:textAlignment w:val="baseline"/>
              <w:rPr>
                <w:rFonts w:ascii="Work Sans" w:eastAsia="Times New Roman" w:hAnsi="Work Sans" w:cs="Times New Roman"/>
                <w:i/>
                <w:color w:val="000000"/>
                <w:sz w:val="16"/>
                <w:szCs w:val="16"/>
                <w:lang w:eastAsia="it-IT"/>
              </w:rPr>
            </w:pPr>
            <w:r w:rsidRPr="00A1633F">
              <w:rPr>
                <w:rFonts w:ascii="Work Sans" w:eastAsia="Times New Roman" w:hAnsi="Work Sans" w:cs="Times New Roman"/>
                <w:b/>
                <w:bCs/>
                <w:i/>
                <w:color w:val="ED5C57"/>
                <w:sz w:val="16"/>
                <w:szCs w:val="16"/>
                <w:bdr w:val="none" w:sz="0" w:space="0" w:color="auto" w:frame="1"/>
                <w:lang w:eastAsia="it-IT"/>
              </w:rPr>
              <w:t>A.1 Qualità della didattica, della ricerca, della terza missione/impatto sociale e delle attività istituzionali e gestionali nelle politiche e nelle strategie dell'Ateneo</w:t>
            </w:r>
          </w:p>
          <w:p w14:paraId="3534E89F" w14:textId="77777777" w:rsidR="00735A49" w:rsidRPr="00A1633F" w:rsidRDefault="00735A49" w:rsidP="00735A49">
            <w:pPr>
              <w:shd w:val="clear" w:color="auto" w:fill="FFFFFF"/>
              <w:jc w:val="both"/>
              <w:textAlignment w:val="baseline"/>
              <w:rPr>
                <w:rFonts w:ascii="Work Sans" w:eastAsia="Times New Roman" w:hAnsi="Work Sans" w:cs="Times New Roman"/>
                <w:i/>
                <w:color w:val="000000"/>
                <w:sz w:val="16"/>
                <w:szCs w:val="16"/>
                <w:lang w:eastAsia="it-IT"/>
              </w:rPr>
            </w:pPr>
            <w:r w:rsidRPr="00A1633F">
              <w:rPr>
                <w:rFonts w:ascii="Work Sans" w:eastAsia="Times New Roman" w:hAnsi="Work Sans" w:cs="Times New Roman"/>
                <w:b/>
                <w:bCs/>
                <w:i/>
                <w:color w:val="000000"/>
                <w:sz w:val="16"/>
                <w:szCs w:val="16"/>
                <w:lang w:eastAsia="it-IT"/>
              </w:rPr>
              <w:t>A.1.2</w:t>
            </w:r>
            <w:r w:rsidRPr="00A1633F">
              <w:rPr>
                <w:rFonts w:ascii="Work Sans" w:eastAsia="Times New Roman" w:hAnsi="Work Sans" w:cs="Times New Roman"/>
                <w:i/>
                <w:color w:val="000000"/>
                <w:sz w:val="16"/>
                <w:szCs w:val="16"/>
                <w:lang w:eastAsia="it-IT"/>
              </w:rPr>
              <w:t> L'Ateneo definisce formalmente una propria visione chiara, articolata e pubblica, della qualità della didattica (coerente con gli standard e linee guida europei - ESG), della ricerca, della terza missione/impatto sociale e delle altre attività istituzionali e gestionali, con riferimento al complesso delle relazioni fra queste e tenendo conto del contesto di riferimento, dei portatori di interesse, delle competenze e risorse disponibili, delle proprie potenzialità di sviluppo e delle ricadute nel contesto sociale, culturale ed economico. </w:t>
            </w:r>
          </w:p>
          <w:p w14:paraId="49CCE26B" w14:textId="77777777" w:rsidR="00735A49" w:rsidRPr="00A1633F" w:rsidRDefault="00735A49" w:rsidP="00735A49">
            <w:pPr>
              <w:shd w:val="clear" w:color="auto" w:fill="FFFFFF"/>
              <w:jc w:val="both"/>
              <w:textAlignment w:val="baseline"/>
              <w:rPr>
                <w:rFonts w:ascii="Work Sans" w:eastAsia="Times New Roman" w:hAnsi="Work Sans" w:cs="Times New Roman"/>
                <w:i/>
                <w:color w:val="000000"/>
                <w:sz w:val="16"/>
                <w:szCs w:val="16"/>
                <w:lang w:eastAsia="it-IT"/>
              </w:rPr>
            </w:pPr>
            <w:r w:rsidRPr="00A1633F">
              <w:rPr>
                <w:rFonts w:ascii="Work Sans" w:eastAsia="Times New Roman" w:hAnsi="Work Sans" w:cs="Times New Roman"/>
                <w:b/>
                <w:bCs/>
                <w:i/>
                <w:color w:val="000000"/>
                <w:sz w:val="16"/>
                <w:szCs w:val="16"/>
                <w:lang w:eastAsia="it-IT"/>
              </w:rPr>
              <w:t>NOTA:</w:t>
            </w:r>
          </w:p>
          <w:p w14:paraId="476C7607" w14:textId="77777777" w:rsidR="00735A49" w:rsidRPr="00A1633F" w:rsidRDefault="00735A49" w:rsidP="00735A49">
            <w:pPr>
              <w:shd w:val="clear" w:color="auto" w:fill="FFFFFF"/>
              <w:jc w:val="both"/>
              <w:textAlignment w:val="baseline"/>
              <w:rPr>
                <w:rFonts w:ascii="Work Sans" w:eastAsia="Times New Roman" w:hAnsi="Work Sans" w:cs="Times New Roman"/>
                <w:i/>
                <w:color w:val="000000"/>
                <w:sz w:val="16"/>
                <w:szCs w:val="16"/>
                <w:lang w:eastAsia="it-IT"/>
              </w:rPr>
            </w:pPr>
            <w:r w:rsidRPr="00A1633F">
              <w:rPr>
                <w:rFonts w:ascii="Work Sans" w:eastAsia="Times New Roman" w:hAnsi="Work Sans" w:cs="Times New Roman"/>
                <w:i/>
                <w:color w:val="000000"/>
                <w:sz w:val="16"/>
                <w:szCs w:val="16"/>
                <w:lang w:eastAsia="it-IT"/>
              </w:rPr>
              <w:t xml:space="preserve">La visione della qualità della didattica deve essere coerente con gli ESG 2015 </w:t>
            </w:r>
            <w:proofErr w:type="spellStart"/>
            <w:r w:rsidRPr="00A1633F">
              <w:rPr>
                <w:rFonts w:ascii="Work Sans" w:eastAsia="Times New Roman" w:hAnsi="Work Sans" w:cs="Times New Roman"/>
                <w:i/>
                <w:color w:val="000000"/>
                <w:sz w:val="16"/>
                <w:szCs w:val="16"/>
                <w:lang w:eastAsia="it-IT"/>
              </w:rPr>
              <w:t>Standards</w:t>
            </w:r>
            <w:proofErr w:type="spellEnd"/>
            <w:r w:rsidRPr="00A1633F">
              <w:rPr>
                <w:rFonts w:ascii="Work Sans" w:eastAsia="Times New Roman" w:hAnsi="Work Sans" w:cs="Times New Roman"/>
                <w:i/>
                <w:color w:val="000000"/>
                <w:sz w:val="16"/>
                <w:szCs w:val="16"/>
                <w:lang w:eastAsia="it-IT"/>
              </w:rPr>
              <w:t xml:space="preserve"> and Guidelines for </w:t>
            </w:r>
            <w:proofErr w:type="spellStart"/>
            <w:r w:rsidRPr="00A1633F">
              <w:rPr>
                <w:rFonts w:ascii="Work Sans" w:eastAsia="Times New Roman" w:hAnsi="Work Sans" w:cs="Times New Roman"/>
                <w:i/>
                <w:color w:val="000000"/>
                <w:sz w:val="16"/>
                <w:szCs w:val="16"/>
                <w:lang w:eastAsia="it-IT"/>
              </w:rPr>
              <w:t>Quality</w:t>
            </w:r>
            <w:proofErr w:type="spellEnd"/>
            <w:r w:rsidRPr="00A1633F">
              <w:rPr>
                <w:rFonts w:ascii="Work Sans" w:eastAsia="Times New Roman" w:hAnsi="Work Sans" w:cs="Times New Roman"/>
                <w:i/>
                <w:color w:val="000000"/>
                <w:sz w:val="16"/>
                <w:szCs w:val="16"/>
                <w:lang w:eastAsia="it-IT"/>
              </w:rPr>
              <w:t xml:space="preserve"> Assurance in the </w:t>
            </w:r>
            <w:proofErr w:type="spellStart"/>
            <w:r w:rsidRPr="00A1633F">
              <w:rPr>
                <w:rFonts w:ascii="Work Sans" w:eastAsia="Times New Roman" w:hAnsi="Work Sans" w:cs="Times New Roman"/>
                <w:i/>
                <w:color w:val="000000"/>
                <w:sz w:val="16"/>
                <w:szCs w:val="16"/>
                <w:lang w:eastAsia="it-IT"/>
              </w:rPr>
              <w:t>European</w:t>
            </w:r>
            <w:proofErr w:type="spellEnd"/>
            <w:r w:rsidRPr="00A1633F">
              <w:rPr>
                <w:rFonts w:ascii="Work Sans" w:eastAsia="Times New Roman" w:hAnsi="Work Sans" w:cs="Times New Roman"/>
                <w:i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1633F">
              <w:rPr>
                <w:rFonts w:ascii="Work Sans" w:eastAsia="Times New Roman" w:hAnsi="Work Sans" w:cs="Times New Roman"/>
                <w:i/>
                <w:color w:val="000000"/>
                <w:sz w:val="16"/>
                <w:szCs w:val="16"/>
                <w:lang w:eastAsia="it-IT"/>
              </w:rPr>
              <w:t>Higher</w:t>
            </w:r>
            <w:proofErr w:type="spellEnd"/>
            <w:r w:rsidRPr="00A1633F">
              <w:rPr>
                <w:rFonts w:ascii="Work Sans" w:eastAsia="Times New Roman" w:hAnsi="Work Sans" w:cs="Times New Roman"/>
                <w:i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A1633F">
              <w:rPr>
                <w:rFonts w:ascii="Work Sans" w:eastAsia="Times New Roman" w:hAnsi="Work Sans" w:cs="Times New Roman"/>
                <w:i/>
                <w:color w:val="000000"/>
                <w:sz w:val="16"/>
                <w:szCs w:val="16"/>
                <w:lang w:eastAsia="it-IT"/>
              </w:rPr>
              <w:t>Education</w:t>
            </w:r>
            <w:proofErr w:type="spellEnd"/>
            <w:r w:rsidRPr="00A1633F">
              <w:rPr>
                <w:rFonts w:ascii="Work Sans" w:eastAsia="Times New Roman" w:hAnsi="Work Sans" w:cs="Times New Roman"/>
                <w:i/>
                <w:color w:val="000000"/>
                <w:sz w:val="16"/>
                <w:szCs w:val="16"/>
                <w:lang w:eastAsia="it-IT"/>
              </w:rPr>
              <w:t xml:space="preserve"> Area e riguardare tutti i cicli della formazione superiore: Laurea (L), Laurea Magistrale (LM), Laurea Magistrale a Ciclo Unico (LMCU), Master di I e II livello, </w:t>
            </w:r>
            <w:r w:rsidRPr="00A1633F">
              <w:rPr>
                <w:rFonts w:ascii="Work Sans" w:eastAsia="Times New Roman" w:hAnsi="Work Sans" w:cs="Times New Roman"/>
                <w:b/>
                <w:bCs/>
                <w:i/>
                <w:color w:val="000000"/>
                <w:sz w:val="16"/>
                <w:szCs w:val="16"/>
                <w:lang w:eastAsia="it-IT"/>
              </w:rPr>
              <w:t>Scuole di Specializzazione</w:t>
            </w:r>
            <w:r w:rsidRPr="00A1633F">
              <w:rPr>
                <w:rFonts w:ascii="Work Sans" w:eastAsia="Times New Roman" w:hAnsi="Work Sans" w:cs="Times New Roman"/>
                <w:i/>
                <w:color w:val="000000"/>
                <w:sz w:val="16"/>
                <w:szCs w:val="16"/>
                <w:lang w:eastAsia="it-IT"/>
              </w:rPr>
              <w:t> (SP), Dottorato di Ricerca (DR). Nel tener conto dei portatori di interesse interni è opportuno che siano anche presi in considerazione gli input delle strutture operative quali ad esempio: Facoltà/Scuole/Strutture di Coordinamento, Dipartimenti, Centri di Ricerca, Corsi di Studio, Dottorati di Ricerca, Nucleo di Valutazione, Presidio della Qualità, Consiglio degli Studenti, Organismi di Parità, etc.</w:t>
            </w:r>
          </w:p>
          <w:p w14:paraId="30987504" w14:textId="77777777" w:rsidR="004E66B7" w:rsidRPr="00A1633F" w:rsidRDefault="004E66B7" w:rsidP="00735A49">
            <w:pPr>
              <w:shd w:val="clear" w:color="auto" w:fill="FFFFFF"/>
              <w:jc w:val="both"/>
              <w:textAlignment w:val="baseline"/>
              <w:rPr>
                <w:rFonts w:ascii="Work Sans" w:eastAsia="Times New Roman" w:hAnsi="Work Sans" w:cs="Times New Roman"/>
                <w:b/>
                <w:bCs/>
                <w:color w:val="ED5C57"/>
                <w:sz w:val="16"/>
                <w:szCs w:val="16"/>
                <w:bdr w:val="none" w:sz="0" w:space="0" w:color="auto" w:frame="1"/>
                <w:lang w:eastAsia="it-IT"/>
              </w:rPr>
            </w:pPr>
          </w:p>
          <w:p w14:paraId="54DD004D" w14:textId="77777777" w:rsidR="004E66B7" w:rsidRPr="00A1633F" w:rsidRDefault="004E66B7" w:rsidP="004E66B7">
            <w:pPr>
              <w:shd w:val="clear" w:color="auto" w:fill="FFFFFF"/>
              <w:jc w:val="both"/>
              <w:textAlignment w:val="baseline"/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lang w:eastAsia="it-IT"/>
              </w:rPr>
            </w:pPr>
            <w:r w:rsidRPr="00A1633F">
              <w:rPr>
                <w:rFonts w:ascii="Work Sans" w:eastAsia="Times New Roman" w:hAnsi="Work Sans" w:cs="Segoe UI"/>
                <w:b/>
                <w:bCs/>
                <w:i/>
                <w:color w:val="ED5C57"/>
                <w:sz w:val="16"/>
                <w:szCs w:val="16"/>
                <w:bdr w:val="none" w:sz="0" w:space="0" w:color="auto" w:frame="1"/>
                <w:lang w:eastAsia="it-IT"/>
              </w:rPr>
              <w:t>E.1 Definizione delle linee strategiche dei Dipartimenti</w:t>
            </w:r>
          </w:p>
          <w:p w14:paraId="3D616370" w14:textId="77777777" w:rsidR="004E66B7" w:rsidRPr="00A1633F" w:rsidRDefault="004E66B7" w:rsidP="004E66B7">
            <w:pPr>
              <w:shd w:val="clear" w:color="auto" w:fill="FFFFFF"/>
              <w:jc w:val="both"/>
              <w:textAlignment w:val="baseline"/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lang w:eastAsia="it-IT"/>
              </w:rPr>
            </w:pPr>
            <w:r w:rsidRPr="00A1633F">
              <w:rPr>
                <w:rFonts w:ascii="Work Sans" w:eastAsia="Times New Roman" w:hAnsi="Work Sans" w:cs="Segoe UI"/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lastRenderedPageBreak/>
              <w:t>E.1.1 </w:t>
            </w:r>
            <w:r w:rsidRPr="00A1633F"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L’Ateneo ha una visione complessiva delle modalità con cui i Dipartimenti hanno definito una propria strategia sulla ricerca e le ricadute nel contesto territoriale e sociale di riferimento (terza missione/impatto sociale) coerentemente con le politiche e le strategie di Ateneo, con un programma complessivo e obiettivi specifici definiti in base alle loro potenzialità e al loro progetto culturale. </w:t>
            </w:r>
          </w:p>
          <w:p w14:paraId="5C3094E1" w14:textId="77777777" w:rsidR="004E66B7" w:rsidRPr="00A1633F" w:rsidRDefault="004E66B7" w:rsidP="004E66B7">
            <w:pPr>
              <w:shd w:val="clear" w:color="auto" w:fill="FFFFFF"/>
              <w:jc w:val="both"/>
              <w:textAlignment w:val="baseline"/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lang w:eastAsia="it-IT"/>
              </w:rPr>
            </w:pPr>
            <w:r w:rsidRPr="00A1633F">
              <w:rPr>
                <w:rFonts w:ascii="Work Sans" w:eastAsia="Times New Roman" w:hAnsi="Work Sans" w:cs="Segoe UI"/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NOTA:</w:t>
            </w:r>
          </w:p>
          <w:p w14:paraId="4ECC69BC" w14:textId="77777777" w:rsidR="004E66B7" w:rsidRPr="00A1633F" w:rsidRDefault="004E66B7" w:rsidP="004E66B7">
            <w:pPr>
              <w:shd w:val="clear" w:color="auto" w:fill="FFFFFF"/>
              <w:jc w:val="both"/>
              <w:textAlignment w:val="baseline"/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lang w:eastAsia="it-IT"/>
              </w:rPr>
            </w:pPr>
            <w:r w:rsidRPr="00A1633F"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La strategia dei Dipartimenti tiene in considerazione anche i Dottorati di Ricerca e le </w:t>
            </w:r>
            <w:r w:rsidRPr="00A1633F">
              <w:rPr>
                <w:rFonts w:ascii="Work Sans" w:eastAsia="Times New Roman" w:hAnsi="Work Sans" w:cs="Segoe UI"/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Scuole di Specializzazione</w:t>
            </w:r>
            <w:r w:rsidRPr="00A1633F"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 ad essi afferenti. Per ciò che attiene alla terza missione/impatto sociale va fatto riferimento alle categorie intercettate dalle Linee Guida ANVUR e dalla VQR.</w:t>
            </w:r>
          </w:p>
          <w:p w14:paraId="13011DA7" w14:textId="77777777" w:rsidR="004E66B7" w:rsidRPr="00A1633F" w:rsidRDefault="004E66B7" w:rsidP="004E66B7">
            <w:pPr>
              <w:shd w:val="clear" w:color="auto" w:fill="FFFFFF"/>
              <w:jc w:val="both"/>
              <w:textAlignment w:val="baseline"/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lang w:eastAsia="it-IT"/>
              </w:rPr>
            </w:pPr>
          </w:p>
          <w:p w14:paraId="2CDB46AB" w14:textId="77777777" w:rsidR="004E66B7" w:rsidRPr="00A1633F" w:rsidRDefault="004E66B7" w:rsidP="004E66B7">
            <w:pPr>
              <w:shd w:val="clear" w:color="auto" w:fill="FFFFFF"/>
              <w:jc w:val="both"/>
              <w:textAlignment w:val="baseline"/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lang w:eastAsia="it-IT"/>
              </w:rPr>
            </w:pPr>
            <w:r w:rsidRPr="00A1633F">
              <w:rPr>
                <w:rFonts w:ascii="Work Sans" w:eastAsia="Times New Roman" w:hAnsi="Work Sans" w:cs="Segoe UI"/>
                <w:b/>
                <w:bCs/>
                <w:i/>
                <w:color w:val="000000"/>
                <w:sz w:val="16"/>
                <w:szCs w:val="16"/>
                <w:lang w:eastAsia="it-IT"/>
              </w:rPr>
              <w:t>E.1.2 </w:t>
            </w:r>
            <w:r w:rsidRPr="00A1633F"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lang w:eastAsia="it-IT"/>
              </w:rPr>
              <w:t>Gli obiettivi dipartimentali di ricerca e terza missione/impatto sociale sono plausibili e coerenti con la visione, le politiche e le strategie proprie e dell’Ateneo e tengono anche conto dei risultati conseguiti nei cicli di pianificazione precedenti, dei risultati della VQR, degli indicatori di produttività scientifica dell’ASN, del reclutamento e di eventuali altre iniziative di valutazione della ricerca e della terza missione/impatto sociale attuate a livello locale. </w:t>
            </w:r>
          </w:p>
          <w:p w14:paraId="7332CE08" w14:textId="77777777" w:rsidR="004E66B7" w:rsidRPr="00A1633F" w:rsidRDefault="004E66B7" w:rsidP="004E66B7">
            <w:pPr>
              <w:shd w:val="clear" w:color="auto" w:fill="FFFFFF"/>
              <w:jc w:val="both"/>
              <w:textAlignment w:val="baseline"/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lang w:eastAsia="it-IT"/>
              </w:rPr>
            </w:pPr>
            <w:r w:rsidRPr="00A1633F">
              <w:rPr>
                <w:rFonts w:ascii="Work Sans" w:eastAsia="Times New Roman" w:hAnsi="Work Sans" w:cs="Segoe UI"/>
                <w:b/>
                <w:bCs/>
                <w:i/>
                <w:color w:val="000000"/>
                <w:sz w:val="16"/>
                <w:szCs w:val="16"/>
                <w:lang w:eastAsia="it-IT"/>
              </w:rPr>
              <w:t>NOTA:</w:t>
            </w:r>
          </w:p>
          <w:p w14:paraId="5031C022" w14:textId="3C9772BC" w:rsidR="004E66B7" w:rsidRPr="00A1633F" w:rsidRDefault="004E66B7" w:rsidP="004E66B7">
            <w:pPr>
              <w:shd w:val="clear" w:color="auto" w:fill="FFFFFF"/>
              <w:jc w:val="both"/>
              <w:textAlignment w:val="baseline"/>
              <w:rPr>
                <w:rFonts w:ascii="Work Sans" w:eastAsia="Times New Roman" w:hAnsi="Work Sans" w:cs="Times New Roman"/>
                <w:b/>
                <w:bCs/>
                <w:color w:val="ED5C57"/>
                <w:sz w:val="16"/>
                <w:szCs w:val="16"/>
                <w:bdr w:val="none" w:sz="0" w:space="0" w:color="auto" w:frame="1"/>
                <w:lang w:eastAsia="it-IT"/>
              </w:rPr>
            </w:pPr>
            <w:r w:rsidRPr="00A1633F"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lang w:eastAsia="it-IT"/>
              </w:rPr>
              <w:t>La pianificazione dipartimentale fa riferimento alla SUA-RD/TM e/o ad altri modelli di pianificazione adottati dall’Ateneo. I Dipartimenti nel definire gli obiettivi devono tenere in considerazione anche i Dottorati di Ricerca e le </w:t>
            </w:r>
            <w:r w:rsidRPr="00A1633F">
              <w:rPr>
                <w:rFonts w:ascii="Work Sans" w:eastAsia="Times New Roman" w:hAnsi="Work Sans" w:cs="Segoe UI"/>
                <w:b/>
                <w:bCs/>
                <w:i/>
                <w:color w:val="000000"/>
                <w:sz w:val="16"/>
                <w:szCs w:val="16"/>
                <w:lang w:eastAsia="it-IT"/>
              </w:rPr>
              <w:t>Scuole di Specializzazione</w:t>
            </w:r>
            <w:r w:rsidRPr="00A1633F"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lang w:eastAsia="it-IT"/>
              </w:rPr>
              <w:t> che afferiscono al Dipartimento stesso.</w:t>
            </w:r>
          </w:p>
        </w:tc>
      </w:tr>
    </w:tbl>
    <w:p w14:paraId="2D94D33E" w14:textId="77777777" w:rsidR="004E66B7" w:rsidRDefault="004E66B7" w:rsidP="00735A49">
      <w:pPr>
        <w:shd w:val="clear" w:color="auto" w:fill="FFFFFF"/>
        <w:spacing w:after="0" w:line="240" w:lineRule="auto"/>
        <w:jc w:val="both"/>
        <w:textAlignment w:val="baseline"/>
        <w:rPr>
          <w:rFonts w:ascii="Work Sans" w:hAnsi="Work Sans"/>
          <w:b/>
        </w:rPr>
      </w:pPr>
    </w:p>
    <w:p w14:paraId="6E5CA933" w14:textId="6D9CB461" w:rsidR="00A10FAA" w:rsidRDefault="00A10FAA" w:rsidP="00735A49">
      <w:pPr>
        <w:shd w:val="clear" w:color="auto" w:fill="FFFFFF"/>
        <w:spacing w:after="0" w:line="240" w:lineRule="auto"/>
        <w:jc w:val="both"/>
        <w:textAlignment w:val="baseline"/>
        <w:rPr>
          <w:rFonts w:ascii="Work Sans" w:hAnsi="Work Sans"/>
          <w:b/>
        </w:rPr>
      </w:pPr>
      <w:r>
        <w:rPr>
          <w:rFonts w:ascii="Work Sans" w:hAnsi="Work Sans"/>
          <w:b/>
        </w:rPr>
        <w:t>Offerta formativa della SSP</w:t>
      </w:r>
    </w:p>
    <w:tbl>
      <w:tblPr>
        <w:tblStyle w:val="Grigliatabella"/>
        <w:tblW w:w="9766" w:type="dxa"/>
        <w:tblLook w:val="04A0" w:firstRow="1" w:lastRow="0" w:firstColumn="1" w:lastColumn="0" w:noHBand="0" w:noVBand="1"/>
      </w:tblPr>
      <w:tblGrid>
        <w:gridCol w:w="3181"/>
        <w:gridCol w:w="1766"/>
        <w:gridCol w:w="1499"/>
        <w:gridCol w:w="3320"/>
      </w:tblGrid>
      <w:tr w:rsidR="009C6C1F" w:rsidRPr="00DF76D9" w14:paraId="69C86FB7" w14:textId="77777777" w:rsidTr="00E70186">
        <w:tc>
          <w:tcPr>
            <w:tcW w:w="318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E5D4987" w14:textId="77777777" w:rsidR="009C6C1F" w:rsidRPr="00DF76D9" w:rsidRDefault="009C6C1F" w:rsidP="0021592B">
            <w:pPr>
              <w:jc w:val="both"/>
              <w:rPr>
                <w:rFonts w:ascii="Work Sans" w:hAnsi="Work Sans"/>
                <w:b/>
              </w:rPr>
            </w:pPr>
            <w:r w:rsidRPr="00DF76D9">
              <w:rPr>
                <w:rFonts w:ascii="Work Sans" w:hAnsi="Work Sans"/>
                <w:b/>
              </w:rPr>
              <w:t>Indicatori</w:t>
            </w:r>
          </w:p>
        </w:tc>
        <w:tc>
          <w:tcPr>
            <w:tcW w:w="176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BDABAB3" w14:textId="77777777" w:rsidR="009C6C1F" w:rsidRPr="00DF76D9" w:rsidRDefault="009C6C1F" w:rsidP="0021592B">
            <w:pPr>
              <w:jc w:val="both"/>
              <w:rPr>
                <w:rFonts w:ascii="Work Sans" w:hAnsi="Work Sans"/>
                <w:b/>
              </w:rPr>
            </w:pPr>
            <w:r w:rsidRPr="00DF76D9">
              <w:rPr>
                <w:rFonts w:ascii="Work Sans" w:hAnsi="Work Sans"/>
                <w:b/>
              </w:rPr>
              <w:t>Documento di riferimento</w:t>
            </w:r>
          </w:p>
        </w:tc>
        <w:tc>
          <w:tcPr>
            <w:tcW w:w="149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1394C33" w14:textId="77777777" w:rsidR="009C6C1F" w:rsidRPr="00DF76D9" w:rsidRDefault="009C6C1F" w:rsidP="0021592B">
            <w:pPr>
              <w:jc w:val="both"/>
              <w:rPr>
                <w:rFonts w:ascii="Work Sans" w:hAnsi="Work Sans"/>
                <w:b/>
              </w:rPr>
            </w:pPr>
            <w:r w:rsidRPr="00DF76D9">
              <w:rPr>
                <w:rFonts w:ascii="Work Sans" w:hAnsi="Work Sans"/>
                <w:b/>
              </w:rPr>
              <w:t>Valutazione</w:t>
            </w:r>
          </w:p>
        </w:tc>
        <w:tc>
          <w:tcPr>
            <w:tcW w:w="33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E2D454D" w14:textId="77777777" w:rsidR="009C6C1F" w:rsidRPr="00DF76D9" w:rsidRDefault="009C6C1F" w:rsidP="0021592B">
            <w:pPr>
              <w:jc w:val="both"/>
              <w:rPr>
                <w:rFonts w:ascii="Work Sans" w:hAnsi="Work Sans"/>
                <w:b/>
              </w:rPr>
            </w:pPr>
            <w:r w:rsidRPr="00DF76D9">
              <w:rPr>
                <w:rFonts w:ascii="Work Sans" w:hAnsi="Work Sans"/>
                <w:b/>
              </w:rPr>
              <w:t>Commento</w:t>
            </w:r>
          </w:p>
        </w:tc>
      </w:tr>
      <w:tr w:rsidR="00DA08B3" w:rsidRPr="00DF76D9" w14:paraId="51ED14AF" w14:textId="77777777" w:rsidTr="00E70186">
        <w:tc>
          <w:tcPr>
            <w:tcW w:w="318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452EB38" w14:textId="77777777" w:rsidR="00DA08B3" w:rsidRDefault="00DA08B3" w:rsidP="0021592B">
            <w:pPr>
              <w:jc w:val="both"/>
              <w:rPr>
                <w:rFonts w:ascii="Work Sans" w:eastAsia="Calibri" w:hAnsi="Work Sans" w:cs="Calibri"/>
              </w:rPr>
            </w:pPr>
            <w:r w:rsidRPr="00DF76D9">
              <w:rPr>
                <w:rFonts w:ascii="Work Sans" w:eastAsia="Calibri" w:hAnsi="Work Sans" w:cs="Calibri"/>
              </w:rPr>
              <w:t>Livello di coerenza delle attività di formazione con gli obiettivi formativi ed i profili culturali e professionali in uscita (1. Molto basso -2. Basso – 3. Medio – 4. Alto - 5. Molto alto)</w:t>
            </w:r>
          </w:p>
          <w:p w14:paraId="1FB57B02" w14:textId="02AE8E5F" w:rsidR="00DA08B3" w:rsidRPr="00DA08B3" w:rsidRDefault="00DA08B3" w:rsidP="0021592B">
            <w:pPr>
              <w:jc w:val="both"/>
              <w:rPr>
                <w:rFonts w:ascii="Work Sans" w:hAnsi="Work Sans"/>
                <w:b/>
                <w:i/>
                <w:sz w:val="18"/>
                <w:szCs w:val="18"/>
              </w:rPr>
            </w:pPr>
            <w:r w:rsidRPr="00DA08B3">
              <w:rPr>
                <w:rFonts w:ascii="Work Sans" w:hAnsi="Work Sans"/>
                <w:b/>
                <w:i/>
                <w:sz w:val="18"/>
                <w:szCs w:val="18"/>
              </w:rPr>
              <w:t>(rispondere solo se applicabile)</w:t>
            </w:r>
          </w:p>
        </w:tc>
        <w:tc>
          <w:tcPr>
            <w:tcW w:w="176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03CD199" w14:textId="77777777" w:rsidR="00DA08B3" w:rsidRPr="00DF76D9" w:rsidRDefault="00DA08B3" w:rsidP="0021592B">
            <w:pPr>
              <w:jc w:val="both"/>
              <w:rPr>
                <w:rFonts w:ascii="Work Sans" w:hAnsi="Work Sans"/>
                <w:b/>
              </w:rPr>
            </w:pPr>
          </w:p>
        </w:tc>
        <w:tc>
          <w:tcPr>
            <w:tcW w:w="149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8419435" w14:textId="77777777" w:rsidR="00DA08B3" w:rsidRPr="00DF76D9" w:rsidRDefault="00DA08B3" w:rsidP="0021592B">
            <w:pPr>
              <w:jc w:val="both"/>
              <w:rPr>
                <w:rFonts w:ascii="Work Sans" w:hAnsi="Work Sans"/>
                <w:b/>
              </w:rPr>
            </w:pPr>
          </w:p>
        </w:tc>
        <w:tc>
          <w:tcPr>
            <w:tcW w:w="33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6DF5C84" w14:textId="77777777" w:rsidR="00DA08B3" w:rsidRPr="00DF76D9" w:rsidRDefault="00DA08B3" w:rsidP="0021592B">
            <w:pPr>
              <w:jc w:val="both"/>
              <w:rPr>
                <w:rFonts w:ascii="Work Sans" w:hAnsi="Work Sans"/>
                <w:b/>
              </w:rPr>
            </w:pPr>
          </w:p>
        </w:tc>
      </w:tr>
      <w:tr w:rsidR="009C6C1F" w:rsidRPr="00DF76D9" w14:paraId="2BE55003" w14:textId="77777777" w:rsidTr="00E70186">
        <w:tc>
          <w:tcPr>
            <w:tcW w:w="318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DDC660F" w14:textId="30DB2C24" w:rsidR="009C6C1F" w:rsidRPr="00DF76D9" w:rsidRDefault="009C6C1F" w:rsidP="009C6C1F">
            <w:pPr>
              <w:jc w:val="both"/>
              <w:rPr>
                <w:rFonts w:ascii="Work Sans" w:eastAsia="Calibri" w:hAnsi="Work Sans" w:cs="Calibri"/>
              </w:rPr>
            </w:pPr>
            <w:r w:rsidRPr="00DF76D9">
              <w:rPr>
                <w:rFonts w:ascii="Work Sans" w:eastAsia="Calibri" w:hAnsi="Work Sans" w:cs="Calibri"/>
              </w:rPr>
              <w:t>Presenza di metodologie didattiche innovative (S/N, elenco)</w:t>
            </w:r>
          </w:p>
        </w:tc>
        <w:tc>
          <w:tcPr>
            <w:tcW w:w="176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B4403C6" w14:textId="77777777" w:rsidR="009C6C1F" w:rsidRPr="00DF76D9" w:rsidRDefault="009C6C1F" w:rsidP="009C6C1F">
            <w:pPr>
              <w:jc w:val="both"/>
              <w:rPr>
                <w:rFonts w:ascii="Work Sans" w:hAnsi="Work Sans"/>
                <w:b/>
              </w:rPr>
            </w:pPr>
          </w:p>
        </w:tc>
        <w:tc>
          <w:tcPr>
            <w:tcW w:w="149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B5190DA" w14:textId="77777777" w:rsidR="009C6C1F" w:rsidRPr="00DF76D9" w:rsidRDefault="009C6C1F" w:rsidP="009C6C1F">
            <w:pPr>
              <w:jc w:val="both"/>
              <w:rPr>
                <w:rFonts w:ascii="Work Sans" w:hAnsi="Work Sans"/>
                <w:b/>
              </w:rPr>
            </w:pPr>
          </w:p>
        </w:tc>
        <w:tc>
          <w:tcPr>
            <w:tcW w:w="33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32EF7CD" w14:textId="77777777" w:rsidR="009C6C1F" w:rsidRPr="00DF76D9" w:rsidRDefault="009C6C1F" w:rsidP="009C6C1F">
            <w:pPr>
              <w:jc w:val="both"/>
              <w:rPr>
                <w:rFonts w:ascii="Work Sans" w:hAnsi="Work Sans"/>
                <w:b/>
              </w:rPr>
            </w:pPr>
          </w:p>
        </w:tc>
      </w:tr>
      <w:tr w:rsidR="009C6C1F" w:rsidRPr="00DF76D9" w14:paraId="1F9FDDB4" w14:textId="77777777" w:rsidTr="00E70186">
        <w:tc>
          <w:tcPr>
            <w:tcW w:w="318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D839AC4" w14:textId="266248DE" w:rsidR="009C6C1F" w:rsidRPr="00DF76D9" w:rsidRDefault="009C6C1F" w:rsidP="009C6C1F">
            <w:pPr>
              <w:jc w:val="both"/>
              <w:rPr>
                <w:rFonts w:ascii="Work Sans" w:hAnsi="Work Sans"/>
                <w:color w:val="2F5496" w:themeColor="accent1" w:themeShade="BF"/>
              </w:rPr>
            </w:pPr>
            <w:r w:rsidRPr="00DF76D9">
              <w:rPr>
                <w:rFonts w:ascii="Work Sans" w:eastAsia="Calibri" w:hAnsi="Work Sans" w:cs="Calibri"/>
              </w:rPr>
              <w:t>Presenza di una piattaforma di e-learning (S/N)</w:t>
            </w:r>
          </w:p>
        </w:tc>
        <w:tc>
          <w:tcPr>
            <w:tcW w:w="176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CD54604" w14:textId="77777777" w:rsidR="009C6C1F" w:rsidRPr="00DF76D9" w:rsidRDefault="009C6C1F" w:rsidP="009C6C1F">
            <w:pPr>
              <w:jc w:val="center"/>
              <w:rPr>
                <w:rFonts w:ascii="Work Sans" w:hAnsi="Work Sans"/>
                <w:color w:val="2F5496" w:themeColor="accent1" w:themeShade="BF"/>
              </w:rPr>
            </w:pPr>
          </w:p>
        </w:tc>
        <w:tc>
          <w:tcPr>
            <w:tcW w:w="149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CEBE82F" w14:textId="77777777" w:rsidR="009C6C1F" w:rsidRPr="00DF76D9" w:rsidRDefault="009C6C1F" w:rsidP="009C6C1F">
            <w:pPr>
              <w:jc w:val="center"/>
              <w:rPr>
                <w:rFonts w:ascii="Work Sans" w:hAnsi="Work Sans"/>
                <w:color w:val="2F5496" w:themeColor="accent1" w:themeShade="BF"/>
              </w:rPr>
            </w:pPr>
          </w:p>
        </w:tc>
        <w:tc>
          <w:tcPr>
            <w:tcW w:w="33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1374005" w14:textId="77777777" w:rsidR="009C6C1F" w:rsidRPr="00DF76D9" w:rsidRDefault="009C6C1F" w:rsidP="009C6C1F">
            <w:pPr>
              <w:jc w:val="both"/>
              <w:rPr>
                <w:rFonts w:ascii="Work Sans" w:hAnsi="Work Sans"/>
                <w:color w:val="2F5496" w:themeColor="accent1" w:themeShade="BF"/>
              </w:rPr>
            </w:pPr>
          </w:p>
        </w:tc>
      </w:tr>
      <w:tr w:rsidR="001970EA" w:rsidRPr="00DF76D9" w14:paraId="65F1F27B" w14:textId="77777777" w:rsidTr="00E70186">
        <w:tc>
          <w:tcPr>
            <w:tcW w:w="318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3090CB8" w14:textId="094C346F" w:rsidR="001970EA" w:rsidRPr="00DF76D9" w:rsidRDefault="001970EA" w:rsidP="001970EA">
            <w:pPr>
              <w:jc w:val="both"/>
              <w:rPr>
                <w:rFonts w:ascii="Work Sans" w:eastAsia="Calibri" w:hAnsi="Work Sans" w:cs="Calibri"/>
              </w:rPr>
            </w:pPr>
            <w:r w:rsidRPr="00DF76D9">
              <w:rPr>
                <w:rFonts w:ascii="Work Sans" w:eastAsia="Calibri" w:hAnsi="Work Sans" w:cs="Calibri"/>
              </w:rPr>
              <w:t>Presenza di un sito web dedicato (S/N)</w:t>
            </w:r>
          </w:p>
        </w:tc>
        <w:tc>
          <w:tcPr>
            <w:tcW w:w="176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D39CFE1" w14:textId="77777777" w:rsidR="001970EA" w:rsidRPr="00DF76D9" w:rsidRDefault="001970EA" w:rsidP="001970EA">
            <w:pPr>
              <w:jc w:val="center"/>
              <w:rPr>
                <w:rFonts w:ascii="Work Sans" w:hAnsi="Work Sans"/>
                <w:color w:val="2F5496" w:themeColor="accent1" w:themeShade="BF"/>
              </w:rPr>
            </w:pPr>
          </w:p>
        </w:tc>
        <w:tc>
          <w:tcPr>
            <w:tcW w:w="149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DE8A6D5" w14:textId="77777777" w:rsidR="001970EA" w:rsidRPr="00DF76D9" w:rsidRDefault="001970EA" w:rsidP="001970EA">
            <w:pPr>
              <w:jc w:val="center"/>
              <w:rPr>
                <w:rFonts w:ascii="Work Sans" w:hAnsi="Work Sans"/>
                <w:color w:val="2F5496" w:themeColor="accent1" w:themeShade="BF"/>
              </w:rPr>
            </w:pPr>
          </w:p>
        </w:tc>
        <w:tc>
          <w:tcPr>
            <w:tcW w:w="33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15506C7" w14:textId="77777777" w:rsidR="001970EA" w:rsidRPr="00DF76D9" w:rsidRDefault="001970EA" w:rsidP="001970EA">
            <w:pPr>
              <w:jc w:val="both"/>
              <w:rPr>
                <w:rFonts w:ascii="Work Sans" w:hAnsi="Work Sans"/>
                <w:color w:val="2F5496" w:themeColor="accent1" w:themeShade="BF"/>
              </w:rPr>
            </w:pPr>
          </w:p>
        </w:tc>
      </w:tr>
      <w:tr w:rsidR="001970EA" w:rsidRPr="00DF76D9" w14:paraId="583BB932" w14:textId="77777777" w:rsidTr="00E70186">
        <w:tc>
          <w:tcPr>
            <w:tcW w:w="318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8553A32" w14:textId="55B9022C" w:rsidR="001970EA" w:rsidRPr="00DF76D9" w:rsidRDefault="001970EA" w:rsidP="001970EA">
            <w:pPr>
              <w:jc w:val="both"/>
              <w:rPr>
                <w:rFonts w:ascii="Work Sans" w:eastAsia="Calibri" w:hAnsi="Work Sans" w:cs="Calibri"/>
              </w:rPr>
            </w:pPr>
            <w:r w:rsidRPr="001970EA">
              <w:rPr>
                <w:rFonts w:ascii="Work Sans" w:eastAsia="Calibri" w:hAnsi="Work Sans" w:cs="Calibri"/>
              </w:rPr>
              <w:t>Presenza nel sito web della descrizione dei percorsi formativi con la definizione dei loro obiettivi (S/N)</w:t>
            </w:r>
          </w:p>
        </w:tc>
        <w:tc>
          <w:tcPr>
            <w:tcW w:w="176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8A653AD" w14:textId="77777777" w:rsidR="001970EA" w:rsidRPr="00DF76D9" w:rsidRDefault="001970EA" w:rsidP="001970EA">
            <w:pPr>
              <w:jc w:val="center"/>
              <w:rPr>
                <w:rFonts w:ascii="Work Sans" w:hAnsi="Work Sans"/>
                <w:color w:val="2F5496" w:themeColor="accent1" w:themeShade="BF"/>
              </w:rPr>
            </w:pPr>
          </w:p>
        </w:tc>
        <w:tc>
          <w:tcPr>
            <w:tcW w:w="149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FE4E093" w14:textId="77777777" w:rsidR="001970EA" w:rsidRPr="00DF76D9" w:rsidRDefault="001970EA" w:rsidP="001970EA">
            <w:pPr>
              <w:jc w:val="center"/>
              <w:rPr>
                <w:rFonts w:ascii="Work Sans" w:hAnsi="Work Sans"/>
                <w:color w:val="2F5496" w:themeColor="accent1" w:themeShade="BF"/>
              </w:rPr>
            </w:pPr>
          </w:p>
        </w:tc>
        <w:tc>
          <w:tcPr>
            <w:tcW w:w="33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A88413D" w14:textId="77777777" w:rsidR="001970EA" w:rsidRPr="00DF76D9" w:rsidRDefault="001970EA" w:rsidP="001970EA">
            <w:pPr>
              <w:jc w:val="both"/>
              <w:rPr>
                <w:rFonts w:ascii="Work Sans" w:hAnsi="Work Sans"/>
                <w:color w:val="2F5496" w:themeColor="accent1" w:themeShade="BF"/>
              </w:rPr>
            </w:pPr>
          </w:p>
        </w:tc>
      </w:tr>
      <w:tr w:rsidR="001970EA" w:rsidRPr="00DF76D9" w14:paraId="299E4CEF" w14:textId="77777777" w:rsidTr="00E70186">
        <w:tc>
          <w:tcPr>
            <w:tcW w:w="318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99A3245" w14:textId="6A95A190" w:rsidR="001970EA" w:rsidRPr="00DF76D9" w:rsidRDefault="001970EA" w:rsidP="001970EA">
            <w:pPr>
              <w:jc w:val="both"/>
              <w:rPr>
                <w:rFonts w:ascii="Work Sans" w:hAnsi="Work Sans"/>
                <w:color w:val="2F5496" w:themeColor="accent1" w:themeShade="BF"/>
              </w:rPr>
            </w:pPr>
            <w:r w:rsidRPr="00DF76D9">
              <w:rPr>
                <w:rFonts w:ascii="Work Sans" w:eastAsia="Calibri" w:hAnsi="Work Sans" w:cs="Calibri"/>
              </w:rPr>
              <w:t>Presenza di pagine web dedicate ai servizi a disposizione degli specializzandi (S/N)</w:t>
            </w:r>
          </w:p>
        </w:tc>
        <w:tc>
          <w:tcPr>
            <w:tcW w:w="176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B875908" w14:textId="77777777" w:rsidR="001970EA" w:rsidRPr="00DF76D9" w:rsidRDefault="001970EA" w:rsidP="001970EA">
            <w:pPr>
              <w:jc w:val="center"/>
              <w:rPr>
                <w:rFonts w:ascii="Work Sans" w:hAnsi="Work Sans"/>
                <w:color w:val="2F5496" w:themeColor="accent1" w:themeShade="BF"/>
              </w:rPr>
            </w:pPr>
          </w:p>
        </w:tc>
        <w:tc>
          <w:tcPr>
            <w:tcW w:w="149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26F6B30" w14:textId="77777777" w:rsidR="001970EA" w:rsidRPr="00DF76D9" w:rsidRDefault="001970EA" w:rsidP="001970EA">
            <w:pPr>
              <w:jc w:val="center"/>
              <w:rPr>
                <w:rFonts w:ascii="Work Sans" w:hAnsi="Work Sans"/>
                <w:color w:val="2F5496" w:themeColor="accent1" w:themeShade="BF"/>
              </w:rPr>
            </w:pPr>
          </w:p>
        </w:tc>
        <w:tc>
          <w:tcPr>
            <w:tcW w:w="33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76FDDD7" w14:textId="77777777" w:rsidR="001970EA" w:rsidRPr="00DF76D9" w:rsidRDefault="001970EA" w:rsidP="001970EA">
            <w:pPr>
              <w:jc w:val="both"/>
              <w:rPr>
                <w:rFonts w:ascii="Work Sans" w:hAnsi="Work Sans"/>
                <w:color w:val="2F5496" w:themeColor="accent1" w:themeShade="BF"/>
              </w:rPr>
            </w:pPr>
          </w:p>
        </w:tc>
      </w:tr>
      <w:tr w:rsidR="001970EA" w:rsidRPr="00DF76D9" w14:paraId="3C66D110" w14:textId="77777777" w:rsidTr="00E70186">
        <w:tc>
          <w:tcPr>
            <w:tcW w:w="318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F8BDF6A" w14:textId="54DD3BB8" w:rsidR="001970EA" w:rsidRPr="00DF76D9" w:rsidRDefault="001970EA" w:rsidP="001970EA">
            <w:pPr>
              <w:jc w:val="both"/>
              <w:rPr>
                <w:rFonts w:ascii="Work Sans" w:hAnsi="Work Sans"/>
                <w:color w:val="2F5496" w:themeColor="accent1" w:themeShade="BF"/>
              </w:rPr>
            </w:pPr>
            <w:r w:rsidRPr="00DF76D9">
              <w:rPr>
                <w:rFonts w:ascii="Work Sans" w:eastAsia="Calibri" w:hAnsi="Work Sans" w:cs="Calibri"/>
              </w:rPr>
              <w:t>Frequenza di aggiornamento del sito web (almeno mensile / almeno trimestrale/almeno annuale/più che annuale)</w:t>
            </w:r>
          </w:p>
        </w:tc>
        <w:tc>
          <w:tcPr>
            <w:tcW w:w="176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40696E4" w14:textId="77777777" w:rsidR="001970EA" w:rsidRPr="00DF76D9" w:rsidRDefault="001970EA" w:rsidP="001970EA">
            <w:pPr>
              <w:jc w:val="center"/>
              <w:rPr>
                <w:rFonts w:ascii="Work Sans" w:hAnsi="Work Sans"/>
                <w:color w:val="2F5496" w:themeColor="accent1" w:themeShade="BF"/>
              </w:rPr>
            </w:pPr>
          </w:p>
        </w:tc>
        <w:tc>
          <w:tcPr>
            <w:tcW w:w="149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BD75C58" w14:textId="77777777" w:rsidR="001970EA" w:rsidRPr="00DF76D9" w:rsidRDefault="001970EA" w:rsidP="001970EA">
            <w:pPr>
              <w:jc w:val="center"/>
              <w:rPr>
                <w:rFonts w:ascii="Work Sans" w:hAnsi="Work Sans"/>
                <w:color w:val="2F5496" w:themeColor="accent1" w:themeShade="BF"/>
              </w:rPr>
            </w:pPr>
          </w:p>
        </w:tc>
        <w:tc>
          <w:tcPr>
            <w:tcW w:w="33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FFE5DF1" w14:textId="77777777" w:rsidR="001970EA" w:rsidRPr="00DF76D9" w:rsidRDefault="001970EA" w:rsidP="001970EA">
            <w:pPr>
              <w:jc w:val="both"/>
              <w:rPr>
                <w:rFonts w:ascii="Work Sans" w:hAnsi="Work Sans"/>
                <w:color w:val="2F5496" w:themeColor="accent1" w:themeShade="BF"/>
              </w:rPr>
            </w:pPr>
          </w:p>
        </w:tc>
      </w:tr>
      <w:tr w:rsidR="001970EA" w:rsidRPr="00DF76D9" w14:paraId="66CD41C0" w14:textId="77777777" w:rsidTr="00E70186">
        <w:tc>
          <w:tcPr>
            <w:tcW w:w="318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F4E3CA8" w14:textId="4648E247" w:rsidR="001970EA" w:rsidRPr="00DF76D9" w:rsidRDefault="001970EA" w:rsidP="001970EA">
            <w:pPr>
              <w:jc w:val="both"/>
              <w:rPr>
                <w:rFonts w:ascii="Work Sans" w:hAnsi="Work Sans"/>
                <w:color w:val="2F5496" w:themeColor="accent1" w:themeShade="BF"/>
              </w:rPr>
            </w:pPr>
            <w:r w:rsidRPr="00DF76D9">
              <w:rPr>
                <w:rFonts w:ascii="Work Sans" w:eastAsia="Calibri" w:hAnsi="Work Sans" w:cs="Calibri"/>
              </w:rPr>
              <w:t>Presenza di un sito web in inglese (S/N)</w:t>
            </w:r>
          </w:p>
        </w:tc>
        <w:tc>
          <w:tcPr>
            <w:tcW w:w="176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779D2CD" w14:textId="77777777" w:rsidR="001970EA" w:rsidRPr="00DF76D9" w:rsidRDefault="001970EA" w:rsidP="001970EA">
            <w:pPr>
              <w:jc w:val="center"/>
              <w:rPr>
                <w:rFonts w:ascii="Work Sans" w:hAnsi="Work Sans"/>
                <w:color w:val="2F5496" w:themeColor="accent1" w:themeShade="BF"/>
              </w:rPr>
            </w:pPr>
          </w:p>
        </w:tc>
        <w:tc>
          <w:tcPr>
            <w:tcW w:w="149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798A6D0" w14:textId="77777777" w:rsidR="001970EA" w:rsidRPr="00DF76D9" w:rsidRDefault="001970EA" w:rsidP="001970EA">
            <w:pPr>
              <w:jc w:val="center"/>
              <w:rPr>
                <w:rFonts w:ascii="Work Sans" w:hAnsi="Work Sans"/>
                <w:color w:val="2F5496" w:themeColor="accent1" w:themeShade="BF"/>
              </w:rPr>
            </w:pPr>
          </w:p>
        </w:tc>
        <w:tc>
          <w:tcPr>
            <w:tcW w:w="33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6445712" w14:textId="77777777" w:rsidR="001970EA" w:rsidRPr="00DF76D9" w:rsidRDefault="001970EA" w:rsidP="001970EA">
            <w:pPr>
              <w:jc w:val="both"/>
              <w:rPr>
                <w:rFonts w:ascii="Work Sans" w:hAnsi="Work Sans"/>
                <w:color w:val="2F5496" w:themeColor="accent1" w:themeShade="BF"/>
              </w:rPr>
            </w:pPr>
          </w:p>
        </w:tc>
      </w:tr>
      <w:tr w:rsidR="001970EA" w:rsidRPr="00DF76D9" w14:paraId="4BE50E8A" w14:textId="77777777" w:rsidTr="00E70186">
        <w:tc>
          <w:tcPr>
            <w:tcW w:w="318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2050EC4" w14:textId="751D8EDD" w:rsidR="001970EA" w:rsidRPr="00DF76D9" w:rsidRDefault="001970EA" w:rsidP="001970EA">
            <w:pPr>
              <w:jc w:val="both"/>
              <w:rPr>
                <w:rFonts w:ascii="Work Sans" w:hAnsi="Work Sans"/>
                <w:color w:val="2F5496" w:themeColor="accent1" w:themeShade="BF"/>
              </w:rPr>
            </w:pPr>
            <w:r w:rsidRPr="00DF76D9">
              <w:rPr>
                <w:rFonts w:ascii="Work Sans" w:eastAsia="Calibri" w:hAnsi="Work Sans" w:cs="Calibri"/>
              </w:rPr>
              <w:t>Livello di copertura delle informazioni in inglese (%)</w:t>
            </w:r>
          </w:p>
        </w:tc>
        <w:tc>
          <w:tcPr>
            <w:tcW w:w="176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714374A" w14:textId="77777777" w:rsidR="001970EA" w:rsidRPr="00DF76D9" w:rsidRDefault="001970EA" w:rsidP="001970EA">
            <w:pPr>
              <w:jc w:val="center"/>
              <w:rPr>
                <w:rFonts w:ascii="Work Sans" w:hAnsi="Work Sans"/>
                <w:color w:val="2F5496" w:themeColor="accent1" w:themeShade="BF"/>
              </w:rPr>
            </w:pPr>
          </w:p>
        </w:tc>
        <w:tc>
          <w:tcPr>
            <w:tcW w:w="149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D99F3AB" w14:textId="77777777" w:rsidR="001970EA" w:rsidRPr="00DF76D9" w:rsidRDefault="001970EA" w:rsidP="001970EA">
            <w:pPr>
              <w:jc w:val="center"/>
              <w:rPr>
                <w:rFonts w:ascii="Work Sans" w:hAnsi="Work Sans"/>
                <w:color w:val="2F5496" w:themeColor="accent1" w:themeShade="BF"/>
              </w:rPr>
            </w:pPr>
          </w:p>
        </w:tc>
        <w:tc>
          <w:tcPr>
            <w:tcW w:w="33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6259C2B" w14:textId="77777777" w:rsidR="001970EA" w:rsidRPr="00DF76D9" w:rsidRDefault="001970EA" w:rsidP="001970EA">
            <w:pPr>
              <w:jc w:val="both"/>
              <w:rPr>
                <w:rFonts w:ascii="Work Sans" w:hAnsi="Work Sans"/>
                <w:color w:val="2F5496" w:themeColor="accent1" w:themeShade="BF"/>
              </w:rPr>
            </w:pPr>
          </w:p>
        </w:tc>
      </w:tr>
    </w:tbl>
    <w:p w14:paraId="3185289C" w14:textId="77777777" w:rsidR="00781AA2" w:rsidRDefault="00781AA2" w:rsidP="00A10FAA">
      <w:pPr>
        <w:spacing w:after="0"/>
        <w:rPr>
          <w:rFonts w:ascii="Work Sans" w:hAnsi="Work Sans"/>
          <w:i/>
          <w:sz w:val="18"/>
          <w:szCs w:val="18"/>
        </w:rPr>
      </w:pPr>
    </w:p>
    <w:p w14:paraId="7C6DC67E" w14:textId="144A38AF" w:rsidR="00E70186" w:rsidRDefault="00E70186" w:rsidP="00A10FAA">
      <w:pPr>
        <w:spacing w:after="0"/>
        <w:rPr>
          <w:rFonts w:ascii="Work Sans" w:hAnsi="Work Sans"/>
          <w:i/>
          <w:sz w:val="18"/>
          <w:szCs w:val="18"/>
        </w:rPr>
      </w:pPr>
    </w:p>
    <w:p w14:paraId="7E6D4E1D" w14:textId="425AA5BF" w:rsidR="00CC3BD5" w:rsidRDefault="00CC3BD5" w:rsidP="00A10FAA">
      <w:pPr>
        <w:spacing w:after="0"/>
        <w:rPr>
          <w:rFonts w:ascii="Work Sans" w:hAnsi="Work Sans"/>
          <w:i/>
          <w:sz w:val="18"/>
          <w:szCs w:val="18"/>
        </w:rPr>
      </w:pPr>
    </w:p>
    <w:p w14:paraId="2A9569ED" w14:textId="77777777" w:rsidR="00CC3BD5" w:rsidRDefault="00CC3BD5" w:rsidP="00A10FAA">
      <w:pPr>
        <w:spacing w:after="0"/>
        <w:rPr>
          <w:rFonts w:ascii="Work Sans" w:hAnsi="Work Sans"/>
          <w:i/>
          <w:sz w:val="18"/>
          <w:szCs w:val="18"/>
        </w:rPr>
      </w:pPr>
    </w:p>
    <w:p w14:paraId="63FCCC18" w14:textId="48A9F67D" w:rsidR="00A10FAA" w:rsidRPr="00A1633F" w:rsidRDefault="00A10FAA" w:rsidP="00A10FAA">
      <w:pPr>
        <w:spacing w:after="0"/>
        <w:rPr>
          <w:rFonts w:ascii="Work Sans" w:hAnsi="Work Sans"/>
          <w:i/>
          <w:sz w:val="18"/>
          <w:szCs w:val="18"/>
        </w:rPr>
      </w:pPr>
      <w:r w:rsidRPr="00A1633F">
        <w:rPr>
          <w:rFonts w:ascii="Work Sans" w:hAnsi="Work Sans"/>
          <w:i/>
          <w:sz w:val="18"/>
          <w:szCs w:val="18"/>
        </w:rPr>
        <w:lastRenderedPageBreak/>
        <w:t>Approfondimento ANVUR AVA 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A10FAA" w:rsidRPr="00DF76D9" w14:paraId="20562B36" w14:textId="77777777" w:rsidTr="00A10FAA">
        <w:tc>
          <w:tcPr>
            <w:tcW w:w="9770" w:type="dxa"/>
          </w:tcPr>
          <w:p w14:paraId="5F5AD3B7" w14:textId="77777777" w:rsidR="00A10FAA" w:rsidRPr="00DF76D9" w:rsidRDefault="00A10FAA" w:rsidP="00A10FAA">
            <w:pPr>
              <w:shd w:val="clear" w:color="auto" w:fill="FFFFFF"/>
              <w:jc w:val="both"/>
              <w:textAlignment w:val="baseline"/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lang w:eastAsia="it-IT"/>
              </w:rPr>
            </w:pPr>
            <w:r w:rsidRPr="00DF76D9">
              <w:rPr>
                <w:rFonts w:ascii="Work Sans" w:eastAsia="Times New Roman" w:hAnsi="Work Sans" w:cs="Segoe UI"/>
                <w:b/>
                <w:bCs/>
                <w:i/>
                <w:color w:val="ED5C57"/>
                <w:sz w:val="16"/>
                <w:szCs w:val="16"/>
                <w:bdr w:val="none" w:sz="0" w:space="0" w:color="auto" w:frame="1"/>
                <w:lang w:eastAsia="it-IT"/>
              </w:rPr>
              <w:t>D.1 Programmazione dell'offerta formativa</w:t>
            </w:r>
          </w:p>
          <w:p w14:paraId="3A78FA48" w14:textId="77777777" w:rsidR="00A10FAA" w:rsidRPr="00DF76D9" w:rsidRDefault="00A10FAA" w:rsidP="00A10FAA">
            <w:pPr>
              <w:shd w:val="clear" w:color="auto" w:fill="FFFFFF"/>
              <w:jc w:val="both"/>
              <w:textAlignment w:val="baseline"/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lang w:eastAsia="it-IT"/>
              </w:rPr>
            </w:pPr>
            <w:r w:rsidRPr="00DF76D9">
              <w:rPr>
                <w:rFonts w:ascii="Work Sans" w:eastAsia="Times New Roman" w:hAnsi="Work Sans" w:cs="Segoe UI"/>
                <w:b/>
                <w:bCs/>
                <w:i/>
                <w:color w:val="000000"/>
                <w:sz w:val="16"/>
                <w:szCs w:val="16"/>
                <w:lang w:eastAsia="it-IT"/>
              </w:rPr>
              <w:t>D.1.2 </w:t>
            </w:r>
            <w:r w:rsidRPr="00DF76D9"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L’Ateneo definisce e comunica pubblicamente la propria offerta formativa attraverso i propri regolamenti, ai quali viene data adeguata visibilità e accessibilità tramite il sito web dell’Ateneo. </w:t>
            </w:r>
          </w:p>
          <w:p w14:paraId="4E267E16" w14:textId="77777777" w:rsidR="00A10FAA" w:rsidRPr="00DF76D9" w:rsidRDefault="00A10FAA" w:rsidP="00A10FAA">
            <w:pPr>
              <w:shd w:val="clear" w:color="auto" w:fill="FFFFFF"/>
              <w:jc w:val="both"/>
              <w:textAlignment w:val="baseline"/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lang w:eastAsia="it-IT"/>
              </w:rPr>
            </w:pPr>
            <w:r w:rsidRPr="00DF76D9">
              <w:rPr>
                <w:rFonts w:ascii="Work Sans" w:eastAsia="Times New Roman" w:hAnsi="Work Sans" w:cs="Segoe UI"/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NOTA:</w:t>
            </w:r>
          </w:p>
          <w:p w14:paraId="3E88C764" w14:textId="027B977C" w:rsidR="00A10FAA" w:rsidRPr="00DF76D9" w:rsidRDefault="00A10FAA" w:rsidP="00A10FAA">
            <w:pPr>
              <w:shd w:val="clear" w:color="auto" w:fill="FFFFFF"/>
              <w:jc w:val="both"/>
              <w:textAlignment w:val="baseline"/>
              <w:rPr>
                <w:rFonts w:ascii="Work Sans" w:eastAsia="Times New Roman" w:hAnsi="Work Sans" w:cs="Segoe UI"/>
                <w:b/>
                <w:bCs/>
                <w:color w:val="ED5C57"/>
                <w:sz w:val="16"/>
                <w:szCs w:val="16"/>
                <w:bdr w:val="none" w:sz="0" w:space="0" w:color="auto" w:frame="1"/>
                <w:lang w:eastAsia="it-IT"/>
              </w:rPr>
            </w:pPr>
            <w:r w:rsidRPr="00DF76D9"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Nell’ambito dell’offerta formativa vanno considerati i diversi livelli di formazione (Lauree Triennali, Lauree Magistrali, Lauree Magistrali a Ciclo Unico, Dottorati di Ricerca, </w:t>
            </w:r>
            <w:r w:rsidRPr="00DF76D9">
              <w:rPr>
                <w:rFonts w:ascii="Work Sans" w:eastAsia="Times New Roman" w:hAnsi="Work Sans" w:cs="Segoe UI"/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Scuole di Specializzazione</w:t>
            </w:r>
            <w:r w:rsidRPr="00DF76D9"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, Master di I e II livello, Corsi di Alta Formazione, ecc.). Regolamenti e/o Manifesti degli Studi e pagine web di Ateneo, dei Corsi di Studio e dei Dottorati di Ricerca.</w:t>
            </w:r>
          </w:p>
        </w:tc>
      </w:tr>
    </w:tbl>
    <w:p w14:paraId="2091134E" w14:textId="77777777" w:rsidR="00A1633F" w:rsidRDefault="00A1633F" w:rsidP="00A10FAA">
      <w:pPr>
        <w:shd w:val="clear" w:color="auto" w:fill="FFFFFF"/>
        <w:spacing w:after="0" w:line="240" w:lineRule="auto"/>
        <w:jc w:val="both"/>
        <w:textAlignment w:val="baseline"/>
        <w:rPr>
          <w:rFonts w:ascii="Work Sans" w:hAnsi="Work Sans"/>
          <w:b/>
        </w:rPr>
      </w:pPr>
    </w:p>
    <w:p w14:paraId="2555A638" w14:textId="0403CB0B" w:rsidR="00A10FAA" w:rsidRDefault="00A10FAA" w:rsidP="00A10FAA">
      <w:pPr>
        <w:shd w:val="clear" w:color="auto" w:fill="FFFFFF"/>
        <w:spacing w:after="0" w:line="240" w:lineRule="auto"/>
        <w:jc w:val="both"/>
        <w:textAlignment w:val="baseline"/>
        <w:rPr>
          <w:rFonts w:ascii="Work Sans" w:eastAsia="Times New Roman" w:hAnsi="Work Sans" w:cs="Segoe UI"/>
          <w:b/>
          <w:bCs/>
          <w:color w:val="ED5C57"/>
          <w:bdr w:val="none" w:sz="0" w:space="0" w:color="auto" w:frame="1"/>
          <w:lang w:eastAsia="it-IT"/>
        </w:rPr>
      </w:pPr>
      <w:r>
        <w:rPr>
          <w:rFonts w:ascii="Work Sans" w:hAnsi="Work Sans"/>
          <w:b/>
        </w:rPr>
        <w:t>Orientamento e tutorato</w:t>
      </w:r>
    </w:p>
    <w:tbl>
      <w:tblPr>
        <w:tblStyle w:val="Grigliatabella"/>
        <w:tblW w:w="9766" w:type="dxa"/>
        <w:tblLook w:val="04A0" w:firstRow="1" w:lastRow="0" w:firstColumn="1" w:lastColumn="0" w:noHBand="0" w:noVBand="1"/>
      </w:tblPr>
      <w:tblGrid>
        <w:gridCol w:w="3181"/>
        <w:gridCol w:w="1766"/>
        <w:gridCol w:w="1499"/>
        <w:gridCol w:w="3320"/>
      </w:tblGrid>
      <w:tr w:rsidR="0005095C" w:rsidRPr="00DF76D9" w14:paraId="54D5F862" w14:textId="77777777" w:rsidTr="00E70186">
        <w:tc>
          <w:tcPr>
            <w:tcW w:w="318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52AFBF6" w14:textId="77777777" w:rsidR="0005095C" w:rsidRPr="00DF76D9" w:rsidRDefault="0005095C" w:rsidP="0021592B">
            <w:pPr>
              <w:jc w:val="both"/>
              <w:rPr>
                <w:rFonts w:ascii="Work Sans" w:hAnsi="Work Sans"/>
                <w:b/>
              </w:rPr>
            </w:pPr>
            <w:r w:rsidRPr="00DF76D9">
              <w:rPr>
                <w:rFonts w:ascii="Work Sans" w:hAnsi="Work Sans"/>
                <w:b/>
              </w:rPr>
              <w:t>Indicatori</w:t>
            </w:r>
          </w:p>
        </w:tc>
        <w:tc>
          <w:tcPr>
            <w:tcW w:w="176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D10BEF1" w14:textId="77777777" w:rsidR="0005095C" w:rsidRPr="00DF76D9" w:rsidRDefault="0005095C" w:rsidP="0021592B">
            <w:pPr>
              <w:jc w:val="both"/>
              <w:rPr>
                <w:rFonts w:ascii="Work Sans" w:hAnsi="Work Sans"/>
                <w:b/>
              </w:rPr>
            </w:pPr>
            <w:r w:rsidRPr="00DF76D9">
              <w:rPr>
                <w:rFonts w:ascii="Work Sans" w:hAnsi="Work Sans"/>
                <w:b/>
              </w:rPr>
              <w:t>Documento di riferimento</w:t>
            </w:r>
          </w:p>
        </w:tc>
        <w:tc>
          <w:tcPr>
            <w:tcW w:w="149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67A14B1" w14:textId="77777777" w:rsidR="0005095C" w:rsidRPr="00DF76D9" w:rsidRDefault="0005095C" w:rsidP="0021592B">
            <w:pPr>
              <w:jc w:val="both"/>
              <w:rPr>
                <w:rFonts w:ascii="Work Sans" w:hAnsi="Work Sans"/>
                <w:b/>
              </w:rPr>
            </w:pPr>
            <w:r w:rsidRPr="00DF76D9">
              <w:rPr>
                <w:rFonts w:ascii="Work Sans" w:hAnsi="Work Sans"/>
                <w:b/>
              </w:rPr>
              <w:t>Valutazione</w:t>
            </w:r>
          </w:p>
        </w:tc>
        <w:tc>
          <w:tcPr>
            <w:tcW w:w="33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478AEC7" w14:textId="77777777" w:rsidR="0005095C" w:rsidRPr="00DF76D9" w:rsidRDefault="0005095C" w:rsidP="0021592B">
            <w:pPr>
              <w:jc w:val="both"/>
              <w:rPr>
                <w:rFonts w:ascii="Work Sans" w:hAnsi="Work Sans"/>
                <w:b/>
              </w:rPr>
            </w:pPr>
            <w:r w:rsidRPr="00DF76D9">
              <w:rPr>
                <w:rFonts w:ascii="Work Sans" w:hAnsi="Work Sans"/>
                <w:b/>
              </w:rPr>
              <w:t>Commento</w:t>
            </w:r>
          </w:p>
        </w:tc>
      </w:tr>
      <w:tr w:rsidR="0005095C" w:rsidRPr="00DF76D9" w14:paraId="4D2EE5B2" w14:textId="77777777" w:rsidTr="00E70186">
        <w:tc>
          <w:tcPr>
            <w:tcW w:w="318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FA6BD9D" w14:textId="0080BA42" w:rsidR="0005095C" w:rsidRPr="00DF76D9" w:rsidRDefault="0005095C" w:rsidP="0021592B">
            <w:pPr>
              <w:jc w:val="both"/>
              <w:rPr>
                <w:rFonts w:ascii="Work Sans" w:hAnsi="Work Sans"/>
                <w:b/>
              </w:rPr>
            </w:pPr>
            <w:r w:rsidRPr="00DF76D9">
              <w:rPr>
                <w:rFonts w:ascii="Work Sans" w:eastAsia="Calibri" w:hAnsi="Work Sans" w:cs="Calibri"/>
              </w:rPr>
              <w:t>Presenza di</w:t>
            </w:r>
            <w:r w:rsidRPr="00DF76D9">
              <w:rPr>
                <w:rFonts w:ascii="Work Sans" w:hAnsi="Work Sans"/>
                <w:b/>
              </w:rPr>
              <w:t xml:space="preserve"> </w:t>
            </w:r>
            <w:r w:rsidRPr="00DF76D9">
              <w:rPr>
                <w:rFonts w:ascii="Work Sans" w:hAnsi="Work Sans"/>
              </w:rPr>
              <w:t>attività di orientamento condotte dall</w:t>
            </w:r>
            <w:r w:rsidR="00D27F1E" w:rsidRPr="00DF76D9">
              <w:rPr>
                <w:rFonts w:ascii="Work Sans" w:hAnsi="Work Sans"/>
              </w:rPr>
              <w:t>a</w:t>
            </w:r>
            <w:r w:rsidRPr="00DF76D9">
              <w:rPr>
                <w:rFonts w:ascii="Work Sans" w:hAnsi="Work Sans"/>
              </w:rPr>
              <w:t xml:space="preserve"> Scuol</w:t>
            </w:r>
            <w:r w:rsidR="00D27F1E" w:rsidRPr="00DF76D9">
              <w:rPr>
                <w:rFonts w:ascii="Work Sans" w:hAnsi="Work Sans"/>
              </w:rPr>
              <w:t>a</w:t>
            </w:r>
            <w:r w:rsidRPr="00DF76D9">
              <w:rPr>
                <w:rFonts w:ascii="Work Sans" w:hAnsi="Work Sans"/>
              </w:rPr>
              <w:t xml:space="preserve"> di Specializzazione per gli studenti dell’ultimo anno di </w:t>
            </w:r>
            <w:proofErr w:type="spellStart"/>
            <w:r w:rsidRPr="00DF76D9">
              <w:rPr>
                <w:rFonts w:ascii="Work Sans" w:hAnsi="Work Sans"/>
              </w:rPr>
              <w:t>CdS</w:t>
            </w:r>
            <w:proofErr w:type="spellEnd"/>
            <w:r w:rsidRPr="00DF76D9">
              <w:rPr>
                <w:rFonts w:ascii="Work Sans" w:hAnsi="Work Sans"/>
              </w:rPr>
              <w:t xml:space="preserve"> Magistrali per favorire la partecipazione ai bandi di ammissione </w:t>
            </w:r>
            <w:r w:rsidRPr="00DF76D9">
              <w:rPr>
                <w:rFonts w:ascii="Work Sans" w:eastAsia="Calibri" w:hAnsi="Work Sans" w:cs="Calibri"/>
              </w:rPr>
              <w:t>(S/N)</w:t>
            </w:r>
          </w:p>
        </w:tc>
        <w:tc>
          <w:tcPr>
            <w:tcW w:w="176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AC50D19" w14:textId="77777777" w:rsidR="0005095C" w:rsidRPr="00DF76D9" w:rsidRDefault="0005095C" w:rsidP="0021592B">
            <w:pPr>
              <w:jc w:val="both"/>
              <w:rPr>
                <w:rFonts w:ascii="Work Sans" w:hAnsi="Work Sans"/>
                <w:b/>
              </w:rPr>
            </w:pPr>
          </w:p>
        </w:tc>
        <w:tc>
          <w:tcPr>
            <w:tcW w:w="149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494427C" w14:textId="77777777" w:rsidR="0005095C" w:rsidRPr="00DF76D9" w:rsidRDefault="0005095C" w:rsidP="0021592B">
            <w:pPr>
              <w:jc w:val="both"/>
              <w:rPr>
                <w:rFonts w:ascii="Work Sans" w:hAnsi="Work Sans"/>
                <w:b/>
              </w:rPr>
            </w:pPr>
          </w:p>
        </w:tc>
        <w:tc>
          <w:tcPr>
            <w:tcW w:w="33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6C7770D" w14:textId="77777777" w:rsidR="0005095C" w:rsidRPr="00DF76D9" w:rsidRDefault="0005095C" w:rsidP="0021592B">
            <w:pPr>
              <w:jc w:val="both"/>
              <w:rPr>
                <w:rFonts w:ascii="Work Sans" w:hAnsi="Work Sans"/>
                <w:b/>
              </w:rPr>
            </w:pPr>
          </w:p>
        </w:tc>
      </w:tr>
      <w:tr w:rsidR="00D27F1E" w:rsidRPr="00DF76D9" w14:paraId="7E68FADB" w14:textId="77777777" w:rsidTr="00E70186">
        <w:tc>
          <w:tcPr>
            <w:tcW w:w="318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FA85FC9" w14:textId="5A0BD7AE" w:rsidR="00D27F1E" w:rsidRPr="00DF76D9" w:rsidRDefault="00D27F1E" w:rsidP="0021592B">
            <w:pPr>
              <w:jc w:val="both"/>
              <w:rPr>
                <w:rFonts w:ascii="Work Sans" w:eastAsia="Calibri" w:hAnsi="Work Sans" w:cs="Calibri"/>
              </w:rPr>
            </w:pPr>
            <w:r w:rsidRPr="00DF76D9">
              <w:rPr>
                <w:rFonts w:ascii="Work Sans" w:eastAsia="Calibri" w:hAnsi="Work Sans" w:cs="Calibri"/>
              </w:rPr>
              <w:t>Presenza di attività di orientamento in uscita finalizzate all’inserimento nel mondo del lavoro</w:t>
            </w:r>
            <w:r w:rsidRPr="00DF76D9">
              <w:rPr>
                <w:rFonts w:ascii="Work Sans" w:hAnsi="Work Sans"/>
              </w:rPr>
              <w:t xml:space="preserve"> condotte dalla Scuola di Specializzazione per gli specializzandi</w:t>
            </w:r>
            <w:r w:rsidRPr="00DF76D9">
              <w:rPr>
                <w:rFonts w:ascii="Work Sans" w:eastAsia="Calibri" w:hAnsi="Work Sans" w:cs="Calibri"/>
              </w:rPr>
              <w:t xml:space="preserve"> (S/N)</w:t>
            </w:r>
          </w:p>
        </w:tc>
        <w:tc>
          <w:tcPr>
            <w:tcW w:w="176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96FA0CD" w14:textId="77777777" w:rsidR="00D27F1E" w:rsidRPr="00DF76D9" w:rsidRDefault="00D27F1E" w:rsidP="0021592B">
            <w:pPr>
              <w:jc w:val="both"/>
              <w:rPr>
                <w:rFonts w:ascii="Work Sans" w:hAnsi="Work Sans"/>
                <w:b/>
              </w:rPr>
            </w:pPr>
          </w:p>
        </w:tc>
        <w:tc>
          <w:tcPr>
            <w:tcW w:w="149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A7898D6" w14:textId="77777777" w:rsidR="00D27F1E" w:rsidRPr="00DF76D9" w:rsidRDefault="00D27F1E" w:rsidP="0021592B">
            <w:pPr>
              <w:jc w:val="both"/>
              <w:rPr>
                <w:rFonts w:ascii="Work Sans" w:hAnsi="Work Sans"/>
                <w:b/>
              </w:rPr>
            </w:pPr>
          </w:p>
        </w:tc>
        <w:tc>
          <w:tcPr>
            <w:tcW w:w="33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F8C24B5" w14:textId="77777777" w:rsidR="00D27F1E" w:rsidRPr="00DF76D9" w:rsidRDefault="00D27F1E" w:rsidP="0021592B">
            <w:pPr>
              <w:jc w:val="both"/>
              <w:rPr>
                <w:rFonts w:ascii="Work Sans" w:hAnsi="Work Sans"/>
                <w:b/>
              </w:rPr>
            </w:pPr>
          </w:p>
        </w:tc>
      </w:tr>
    </w:tbl>
    <w:p w14:paraId="7862E653" w14:textId="77777777" w:rsidR="0005095C" w:rsidRDefault="0005095C" w:rsidP="00A10FAA">
      <w:pPr>
        <w:spacing w:after="0"/>
        <w:jc w:val="both"/>
        <w:rPr>
          <w:rFonts w:ascii="Work Sans" w:hAnsi="Work Sans"/>
          <w:color w:val="2F5496" w:themeColor="accent1" w:themeShade="BF"/>
        </w:rPr>
      </w:pPr>
    </w:p>
    <w:p w14:paraId="6C833461" w14:textId="77777777" w:rsidR="00A10FAA" w:rsidRPr="00DF76D9" w:rsidRDefault="00A10FAA" w:rsidP="00A10FAA">
      <w:pPr>
        <w:spacing w:after="0"/>
        <w:rPr>
          <w:rFonts w:ascii="Work Sans" w:hAnsi="Work Sans"/>
          <w:i/>
          <w:sz w:val="18"/>
          <w:szCs w:val="18"/>
        </w:rPr>
      </w:pPr>
      <w:r w:rsidRPr="00DF76D9">
        <w:rPr>
          <w:rFonts w:ascii="Work Sans" w:hAnsi="Work Sans"/>
          <w:i/>
          <w:sz w:val="18"/>
          <w:szCs w:val="18"/>
        </w:rPr>
        <w:t>Approfondimento ANVUR AVA 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A10FAA" w:rsidRPr="00A1633F" w14:paraId="4F027A6B" w14:textId="77777777" w:rsidTr="00A10FAA">
        <w:tc>
          <w:tcPr>
            <w:tcW w:w="9770" w:type="dxa"/>
          </w:tcPr>
          <w:p w14:paraId="1BFD2E58" w14:textId="77777777" w:rsidR="00A10FAA" w:rsidRPr="00A1633F" w:rsidRDefault="00A10FAA" w:rsidP="00A10FAA">
            <w:pPr>
              <w:shd w:val="clear" w:color="auto" w:fill="FFFFFF"/>
              <w:jc w:val="both"/>
              <w:textAlignment w:val="baseline"/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lang w:eastAsia="it-IT"/>
              </w:rPr>
            </w:pPr>
            <w:r w:rsidRPr="00A1633F">
              <w:rPr>
                <w:rFonts w:ascii="Work Sans" w:eastAsia="Times New Roman" w:hAnsi="Work Sans" w:cs="Segoe UI"/>
                <w:b/>
                <w:bCs/>
                <w:i/>
                <w:color w:val="ED5C57"/>
                <w:sz w:val="16"/>
                <w:szCs w:val="16"/>
                <w:bdr w:val="none" w:sz="0" w:space="0" w:color="auto" w:frame="1"/>
                <w:lang w:eastAsia="it-IT"/>
              </w:rPr>
              <w:t>D.CDS.2.1 Orientamento e tutorato</w:t>
            </w:r>
          </w:p>
          <w:p w14:paraId="5AE7A44F" w14:textId="77777777" w:rsidR="00A10FAA" w:rsidRPr="00A1633F" w:rsidRDefault="00A10FAA" w:rsidP="00A10FAA">
            <w:pPr>
              <w:shd w:val="clear" w:color="auto" w:fill="FFFFFF"/>
              <w:jc w:val="both"/>
              <w:textAlignment w:val="baseline"/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lang w:eastAsia="it-IT"/>
              </w:rPr>
            </w:pPr>
            <w:r w:rsidRPr="00A1633F">
              <w:rPr>
                <w:rFonts w:ascii="Work Sans" w:eastAsia="Times New Roman" w:hAnsi="Work Sans" w:cs="Segoe UI"/>
                <w:b/>
                <w:bCs/>
                <w:i/>
                <w:color w:val="000000"/>
                <w:sz w:val="16"/>
                <w:szCs w:val="16"/>
                <w:lang w:eastAsia="it-IT"/>
              </w:rPr>
              <w:t>D.CDS.2.1.3 </w:t>
            </w:r>
            <w:r w:rsidRPr="00A1633F"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Le iniziative di introduzione o di accompagnamento al mondo del lavoro tengono conto dei risultati del monitoraggio degli esiti e delle prospettive occupazionali. </w:t>
            </w:r>
          </w:p>
          <w:p w14:paraId="03974956" w14:textId="77777777" w:rsidR="00A10FAA" w:rsidRPr="00A1633F" w:rsidRDefault="00A10FAA" w:rsidP="00A10FAA">
            <w:pPr>
              <w:shd w:val="clear" w:color="auto" w:fill="FFFFFF"/>
              <w:jc w:val="both"/>
              <w:textAlignment w:val="baseline"/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lang w:eastAsia="it-IT"/>
              </w:rPr>
            </w:pPr>
            <w:r w:rsidRPr="00A1633F">
              <w:rPr>
                <w:rFonts w:ascii="Work Sans" w:eastAsia="Times New Roman" w:hAnsi="Work Sans" w:cs="Segoe UI"/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NOTA:</w:t>
            </w:r>
          </w:p>
          <w:p w14:paraId="150A80F9" w14:textId="3BC3B83A" w:rsidR="00A10FAA" w:rsidRPr="00A1633F" w:rsidRDefault="00A10FAA" w:rsidP="00A10FAA">
            <w:pPr>
              <w:shd w:val="clear" w:color="auto" w:fill="FFFFFF"/>
              <w:jc w:val="both"/>
              <w:textAlignment w:val="baseline"/>
              <w:rPr>
                <w:rFonts w:ascii="Work Sans" w:eastAsia="Times New Roman" w:hAnsi="Work Sans" w:cs="Segoe UI"/>
                <w:b/>
                <w:bCs/>
                <w:color w:val="ED5C57"/>
                <w:sz w:val="16"/>
                <w:szCs w:val="16"/>
                <w:bdr w:val="none" w:sz="0" w:space="0" w:color="auto" w:frame="1"/>
                <w:lang w:eastAsia="it-IT"/>
              </w:rPr>
            </w:pPr>
            <w:r w:rsidRPr="00A1633F"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 xml:space="preserve">Le attività di accompagnamento al mondo del lavoro si possono svolgere con differenti modalità in funzione delle politiche di accompagnamento al mondo del lavoro dell’Ateneo e delle iniziative conseguentemente adottate sia a livello di Ateneo, sia a livello di </w:t>
            </w:r>
            <w:proofErr w:type="spellStart"/>
            <w:r w:rsidRPr="00A1633F"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CdS</w:t>
            </w:r>
            <w:proofErr w:type="spellEnd"/>
            <w:r w:rsidRPr="00A1633F"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. Sono da considerarsi buone prassi le attività di orientamento condotte dalle </w:t>
            </w:r>
            <w:r w:rsidRPr="00A1633F">
              <w:rPr>
                <w:rFonts w:ascii="Work Sans" w:eastAsia="Times New Roman" w:hAnsi="Work Sans" w:cs="Segoe UI"/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Scuole di Specializzazione</w:t>
            </w:r>
            <w:r w:rsidRPr="00A1633F"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 xml:space="preserve"> e dai Collegi di Dottorato per gli studenti dell’ultimo anno di </w:t>
            </w:r>
            <w:proofErr w:type="spellStart"/>
            <w:r w:rsidRPr="00A1633F"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CdS</w:t>
            </w:r>
            <w:proofErr w:type="spellEnd"/>
            <w:r w:rsidRPr="00A1633F"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 xml:space="preserve"> Magistrali per favorire la partecipazione ai bandi di ammissione.</w:t>
            </w:r>
          </w:p>
        </w:tc>
      </w:tr>
    </w:tbl>
    <w:p w14:paraId="64EC3394" w14:textId="77777777" w:rsidR="00735A49" w:rsidRDefault="00735A49" w:rsidP="00735A49">
      <w:pPr>
        <w:shd w:val="clear" w:color="auto" w:fill="FFFFFF"/>
        <w:spacing w:after="0" w:line="240" w:lineRule="auto"/>
        <w:jc w:val="both"/>
        <w:textAlignment w:val="baseline"/>
        <w:rPr>
          <w:rFonts w:ascii="Work Sans" w:eastAsia="Times New Roman" w:hAnsi="Work Sans" w:cs="Segoe UI"/>
          <w:b/>
          <w:bCs/>
          <w:color w:val="ED5C57"/>
          <w:bdr w:val="none" w:sz="0" w:space="0" w:color="auto" w:frame="1"/>
          <w:lang w:eastAsia="it-IT"/>
        </w:rPr>
      </w:pPr>
    </w:p>
    <w:p w14:paraId="48BB2185" w14:textId="7AE3C969" w:rsidR="00CC17FA" w:rsidRPr="00E245D9" w:rsidRDefault="00A1633F" w:rsidP="00CC17FA">
      <w:pPr>
        <w:spacing w:after="0" w:line="240" w:lineRule="auto"/>
        <w:rPr>
          <w:rFonts w:ascii="Work Sans" w:eastAsia="Times New Roman" w:hAnsi="Work Sans" w:cs="Lucida Sans Unicode"/>
          <w:b/>
          <w:color w:val="000000"/>
          <w:lang w:eastAsia="it-IT"/>
        </w:rPr>
      </w:pPr>
      <w:r>
        <w:rPr>
          <w:rFonts w:ascii="Work Sans" w:eastAsia="Times New Roman" w:hAnsi="Work Sans" w:cs="Lucida Sans Unicode"/>
          <w:b/>
          <w:color w:val="000000"/>
          <w:lang w:eastAsia="it-IT"/>
        </w:rPr>
        <w:t>Monitoraggio e riesame delle attività</w:t>
      </w:r>
    </w:p>
    <w:tbl>
      <w:tblPr>
        <w:tblStyle w:val="Grigliatabella"/>
        <w:tblW w:w="9766" w:type="dxa"/>
        <w:tblLook w:val="04A0" w:firstRow="1" w:lastRow="0" w:firstColumn="1" w:lastColumn="0" w:noHBand="0" w:noVBand="1"/>
      </w:tblPr>
      <w:tblGrid>
        <w:gridCol w:w="3181"/>
        <w:gridCol w:w="1766"/>
        <w:gridCol w:w="1499"/>
        <w:gridCol w:w="3320"/>
      </w:tblGrid>
      <w:tr w:rsidR="004E66B7" w:rsidRPr="00DF76D9" w14:paraId="28F83042" w14:textId="77777777" w:rsidTr="00E70186">
        <w:tc>
          <w:tcPr>
            <w:tcW w:w="318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EBB1B78" w14:textId="77777777" w:rsidR="004E66B7" w:rsidRPr="00DF76D9" w:rsidRDefault="004E66B7" w:rsidP="0021592B">
            <w:pPr>
              <w:jc w:val="both"/>
              <w:rPr>
                <w:rFonts w:ascii="Work Sans" w:hAnsi="Work Sans"/>
                <w:b/>
              </w:rPr>
            </w:pPr>
            <w:r w:rsidRPr="00DF76D9">
              <w:rPr>
                <w:rFonts w:ascii="Work Sans" w:hAnsi="Work Sans"/>
                <w:b/>
              </w:rPr>
              <w:t>Indicatori</w:t>
            </w:r>
          </w:p>
        </w:tc>
        <w:tc>
          <w:tcPr>
            <w:tcW w:w="176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B198F28" w14:textId="77777777" w:rsidR="004E66B7" w:rsidRPr="00DF76D9" w:rsidRDefault="004E66B7" w:rsidP="0021592B">
            <w:pPr>
              <w:jc w:val="both"/>
              <w:rPr>
                <w:rFonts w:ascii="Work Sans" w:hAnsi="Work Sans"/>
                <w:b/>
              </w:rPr>
            </w:pPr>
            <w:r w:rsidRPr="00DF76D9">
              <w:rPr>
                <w:rFonts w:ascii="Work Sans" w:hAnsi="Work Sans"/>
                <w:b/>
              </w:rPr>
              <w:t>Documento di riferimento</w:t>
            </w:r>
          </w:p>
        </w:tc>
        <w:tc>
          <w:tcPr>
            <w:tcW w:w="149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E95ACB9" w14:textId="77777777" w:rsidR="004E66B7" w:rsidRPr="00DF76D9" w:rsidRDefault="004E66B7" w:rsidP="0021592B">
            <w:pPr>
              <w:jc w:val="both"/>
              <w:rPr>
                <w:rFonts w:ascii="Work Sans" w:hAnsi="Work Sans"/>
                <w:b/>
              </w:rPr>
            </w:pPr>
            <w:r w:rsidRPr="00DF76D9">
              <w:rPr>
                <w:rFonts w:ascii="Work Sans" w:hAnsi="Work Sans"/>
                <w:b/>
              </w:rPr>
              <w:t>Valutazione</w:t>
            </w:r>
          </w:p>
        </w:tc>
        <w:tc>
          <w:tcPr>
            <w:tcW w:w="33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F102213" w14:textId="77777777" w:rsidR="004E66B7" w:rsidRPr="00DF76D9" w:rsidRDefault="004E66B7" w:rsidP="0021592B">
            <w:pPr>
              <w:jc w:val="both"/>
              <w:rPr>
                <w:rFonts w:ascii="Work Sans" w:hAnsi="Work Sans"/>
                <w:b/>
              </w:rPr>
            </w:pPr>
            <w:r w:rsidRPr="00DF76D9">
              <w:rPr>
                <w:rFonts w:ascii="Work Sans" w:hAnsi="Work Sans"/>
                <w:b/>
              </w:rPr>
              <w:t>Commento</w:t>
            </w:r>
          </w:p>
        </w:tc>
      </w:tr>
      <w:tr w:rsidR="004E66B7" w:rsidRPr="00DF76D9" w14:paraId="6F7801EC" w14:textId="77777777" w:rsidTr="00E70186">
        <w:tc>
          <w:tcPr>
            <w:tcW w:w="318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4602978" w14:textId="2D3F88B5" w:rsidR="004E66B7" w:rsidRPr="00DF76D9" w:rsidRDefault="004E66B7" w:rsidP="004E66B7">
            <w:pPr>
              <w:jc w:val="both"/>
              <w:rPr>
                <w:rFonts w:ascii="Work Sans" w:hAnsi="Work Sans"/>
                <w:b/>
              </w:rPr>
            </w:pPr>
            <w:r w:rsidRPr="00DF76D9">
              <w:rPr>
                <w:rFonts w:ascii="Work Sans" w:eastAsia="Calibri" w:hAnsi="Work Sans" w:cs="Calibri"/>
              </w:rPr>
              <w:t xml:space="preserve">Presenza di un sistema di rilevazione ed analisi periodiche delle opinioni </w:t>
            </w:r>
            <w:r w:rsidR="00A1633F" w:rsidRPr="00DF76D9">
              <w:rPr>
                <w:rFonts w:ascii="Work Sans" w:eastAsia="Calibri" w:hAnsi="Work Sans" w:cs="Calibri"/>
              </w:rPr>
              <w:t>degli specializzandi</w:t>
            </w:r>
            <w:r w:rsidRPr="00DF76D9">
              <w:rPr>
                <w:rFonts w:ascii="Work Sans" w:eastAsia="Calibri" w:hAnsi="Work Sans" w:cs="Calibri"/>
              </w:rPr>
              <w:t xml:space="preserve"> durante il corso e </w:t>
            </w:r>
            <w:r w:rsidR="00D27F1E" w:rsidRPr="00DF76D9">
              <w:rPr>
                <w:rFonts w:ascii="Work Sans" w:eastAsia="Calibri" w:hAnsi="Work Sans" w:cs="Calibri"/>
              </w:rPr>
              <w:t xml:space="preserve">degli specializzati </w:t>
            </w:r>
            <w:r w:rsidRPr="00DF76D9">
              <w:rPr>
                <w:rFonts w:ascii="Work Sans" w:eastAsia="Calibri" w:hAnsi="Work Sans" w:cs="Calibri"/>
              </w:rPr>
              <w:t xml:space="preserve">a 1 </w:t>
            </w:r>
            <w:proofErr w:type="spellStart"/>
            <w:r w:rsidRPr="00DF76D9">
              <w:rPr>
                <w:rFonts w:ascii="Work Sans" w:eastAsia="Calibri" w:hAnsi="Work Sans" w:cs="Calibri"/>
              </w:rPr>
              <w:t>anno</w:t>
            </w:r>
            <w:proofErr w:type="spellEnd"/>
            <w:r w:rsidRPr="00DF76D9">
              <w:rPr>
                <w:rFonts w:ascii="Work Sans" w:eastAsia="Calibri" w:hAnsi="Work Sans" w:cs="Calibri"/>
              </w:rPr>
              <w:t xml:space="preserve"> dal conseguimento del titolo (S/N)</w:t>
            </w:r>
          </w:p>
        </w:tc>
        <w:tc>
          <w:tcPr>
            <w:tcW w:w="176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823C41A" w14:textId="77777777" w:rsidR="004E66B7" w:rsidRPr="00DF76D9" w:rsidRDefault="004E66B7" w:rsidP="004E66B7">
            <w:pPr>
              <w:jc w:val="both"/>
              <w:rPr>
                <w:rFonts w:ascii="Work Sans" w:hAnsi="Work Sans"/>
                <w:b/>
              </w:rPr>
            </w:pPr>
          </w:p>
        </w:tc>
        <w:tc>
          <w:tcPr>
            <w:tcW w:w="149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F26D550" w14:textId="77777777" w:rsidR="004E66B7" w:rsidRPr="00DF76D9" w:rsidRDefault="004E66B7" w:rsidP="004E66B7">
            <w:pPr>
              <w:jc w:val="both"/>
              <w:rPr>
                <w:rFonts w:ascii="Work Sans" w:hAnsi="Work Sans"/>
                <w:b/>
              </w:rPr>
            </w:pPr>
          </w:p>
        </w:tc>
        <w:tc>
          <w:tcPr>
            <w:tcW w:w="33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FD23CEB" w14:textId="77777777" w:rsidR="004E66B7" w:rsidRPr="00DF76D9" w:rsidRDefault="004E66B7" w:rsidP="004E66B7">
            <w:pPr>
              <w:jc w:val="both"/>
              <w:rPr>
                <w:rFonts w:ascii="Work Sans" w:hAnsi="Work Sans"/>
                <w:b/>
              </w:rPr>
            </w:pPr>
          </w:p>
        </w:tc>
      </w:tr>
      <w:tr w:rsidR="004E66B7" w:rsidRPr="00DF76D9" w14:paraId="44249FBA" w14:textId="77777777" w:rsidTr="00E70186">
        <w:tc>
          <w:tcPr>
            <w:tcW w:w="318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9EEB2FE" w14:textId="65425782" w:rsidR="004E66B7" w:rsidRPr="00DF76D9" w:rsidRDefault="004E66B7" w:rsidP="004E66B7">
            <w:pPr>
              <w:jc w:val="both"/>
              <w:rPr>
                <w:rFonts w:ascii="Work Sans" w:eastAsia="Calibri" w:hAnsi="Work Sans" w:cs="Calibri"/>
              </w:rPr>
            </w:pPr>
            <w:r w:rsidRPr="00DF76D9">
              <w:rPr>
                <w:rFonts w:ascii="Work Sans" w:eastAsia="Calibri" w:hAnsi="Work Sans" w:cs="Calibri"/>
              </w:rPr>
              <w:t xml:space="preserve">Frequenza degli incontri informali tra il </w:t>
            </w:r>
            <w:r w:rsidR="00A1633F" w:rsidRPr="00DF76D9">
              <w:rPr>
                <w:rFonts w:ascii="Work Sans" w:eastAsia="Calibri" w:hAnsi="Work Sans" w:cs="Calibri"/>
              </w:rPr>
              <w:t>Direttore e gli specializzandi</w:t>
            </w:r>
            <w:r w:rsidRPr="00DF76D9">
              <w:rPr>
                <w:rFonts w:ascii="Work Sans" w:eastAsia="Calibri" w:hAnsi="Work Sans" w:cs="Calibri"/>
              </w:rPr>
              <w:t xml:space="preserve"> (n. medio ogni anno)</w:t>
            </w:r>
          </w:p>
        </w:tc>
        <w:tc>
          <w:tcPr>
            <w:tcW w:w="176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555A8A6" w14:textId="77777777" w:rsidR="004E66B7" w:rsidRPr="00DF76D9" w:rsidRDefault="004E66B7" w:rsidP="004E66B7">
            <w:pPr>
              <w:jc w:val="both"/>
              <w:rPr>
                <w:rFonts w:ascii="Work Sans" w:hAnsi="Work Sans"/>
                <w:b/>
              </w:rPr>
            </w:pPr>
          </w:p>
        </w:tc>
        <w:tc>
          <w:tcPr>
            <w:tcW w:w="149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2338AC6" w14:textId="77777777" w:rsidR="004E66B7" w:rsidRPr="00DF76D9" w:rsidRDefault="004E66B7" w:rsidP="004E66B7">
            <w:pPr>
              <w:jc w:val="both"/>
              <w:rPr>
                <w:rFonts w:ascii="Work Sans" w:hAnsi="Work Sans"/>
                <w:b/>
              </w:rPr>
            </w:pPr>
          </w:p>
        </w:tc>
        <w:tc>
          <w:tcPr>
            <w:tcW w:w="33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E5F96AF" w14:textId="77777777" w:rsidR="004E66B7" w:rsidRPr="00DF76D9" w:rsidRDefault="004E66B7" w:rsidP="004E66B7">
            <w:pPr>
              <w:jc w:val="both"/>
              <w:rPr>
                <w:rFonts w:ascii="Work Sans" w:hAnsi="Work Sans"/>
                <w:b/>
              </w:rPr>
            </w:pPr>
          </w:p>
        </w:tc>
      </w:tr>
      <w:tr w:rsidR="00D27F1E" w:rsidRPr="00DF76D9" w14:paraId="63709742" w14:textId="77777777" w:rsidTr="00E70186">
        <w:tc>
          <w:tcPr>
            <w:tcW w:w="318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52FDDB6" w14:textId="5CABA77D" w:rsidR="00D27F1E" w:rsidRPr="00DF76D9" w:rsidRDefault="00D27F1E" w:rsidP="004E66B7">
            <w:pPr>
              <w:jc w:val="both"/>
              <w:rPr>
                <w:rFonts w:ascii="Work Sans" w:eastAsia="Calibri" w:hAnsi="Work Sans" w:cs="Calibri"/>
              </w:rPr>
            </w:pPr>
            <w:r w:rsidRPr="00DF76D9">
              <w:rPr>
                <w:rFonts w:ascii="Work Sans" w:eastAsia="Calibri" w:hAnsi="Work Sans" w:cs="Calibri"/>
              </w:rPr>
              <w:t>Presenza di azioni di miglioramento del sistema di AQ condotte dalla Scuola di Specializzazione</w:t>
            </w:r>
          </w:p>
        </w:tc>
        <w:tc>
          <w:tcPr>
            <w:tcW w:w="176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8596596" w14:textId="77777777" w:rsidR="00D27F1E" w:rsidRPr="00DF76D9" w:rsidRDefault="00D27F1E" w:rsidP="004E66B7">
            <w:pPr>
              <w:jc w:val="both"/>
              <w:rPr>
                <w:rFonts w:ascii="Work Sans" w:hAnsi="Work Sans"/>
                <w:b/>
              </w:rPr>
            </w:pPr>
          </w:p>
        </w:tc>
        <w:tc>
          <w:tcPr>
            <w:tcW w:w="149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89AF680" w14:textId="77777777" w:rsidR="00D27F1E" w:rsidRPr="00DF76D9" w:rsidRDefault="00D27F1E" w:rsidP="004E66B7">
            <w:pPr>
              <w:jc w:val="both"/>
              <w:rPr>
                <w:rFonts w:ascii="Work Sans" w:hAnsi="Work Sans"/>
                <w:b/>
              </w:rPr>
            </w:pPr>
          </w:p>
        </w:tc>
        <w:tc>
          <w:tcPr>
            <w:tcW w:w="3320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BEF3928" w14:textId="77777777" w:rsidR="00D27F1E" w:rsidRPr="00DF76D9" w:rsidRDefault="00D27F1E" w:rsidP="004E66B7">
            <w:pPr>
              <w:jc w:val="both"/>
              <w:rPr>
                <w:rFonts w:ascii="Work Sans" w:hAnsi="Work Sans"/>
                <w:b/>
              </w:rPr>
            </w:pPr>
          </w:p>
        </w:tc>
      </w:tr>
    </w:tbl>
    <w:p w14:paraId="7602CFAE" w14:textId="77777777" w:rsidR="00A1633F" w:rsidRDefault="00A1633F" w:rsidP="00A1633F">
      <w:pPr>
        <w:spacing w:after="0"/>
        <w:rPr>
          <w:rFonts w:ascii="Work Sans" w:hAnsi="Work Sans"/>
          <w:i/>
          <w:sz w:val="18"/>
          <w:szCs w:val="18"/>
        </w:rPr>
      </w:pPr>
    </w:p>
    <w:p w14:paraId="3C7F0515" w14:textId="7D987788" w:rsidR="00A1633F" w:rsidRPr="00DF76D9" w:rsidRDefault="00A1633F" w:rsidP="00A1633F">
      <w:pPr>
        <w:spacing w:after="0"/>
        <w:rPr>
          <w:rFonts w:ascii="Work Sans" w:hAnsi="Work Sans"/>
          <w:i/>
          <w:sz w:val="18"/>
          <w:szCs w:val="18"/>
        </w:rPr>
      </w:pPr>
      <w:r w:rsidRPr="00DF76D9">
        <w:rPr>
          <w:rFonts w:ascii="Work Sans" w:hAnsi="Work Sans"/>
          <w:i/>
          <w:sz w:val="18"/>
          <w:szCs w:val="18"/>
        </w:rPr>
        <w:t>Approfondimento ANVUR AVA 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A1633F" w:rsidRPr="00A1633F" w14:paraId="7AB5F4F1" w14:textId="77777777" w:rsidTr="0021592B">
        <w:tc>
          <w:tcPr>
            <w:tcW w:w="9770" w:type="dxa"/>
          </w:tcPr>
          <w:p w14:paraId="6FF2C587" w14:textId="77777777" w:rsidR="00A1633F" w:rsidRPr="00A1633F" w:rsidRDefault="00A1633F" w:rsidP="0021592B">
            <w:pPr>
              <w:shd w:val="clear" w:color="auto" w:fill="FFFFFF"/>
              <w:jc w:val="both"/>
              <w:textAlignment w:val="baseline"/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lang w:eastAsia="it-IT"/>
              </w:rPr>
            </w:pPr>
            <w:r w:rsidRPr="00A1633F">
              <w:rPr>
                <w:rFonts w:ascii="Work Sans" w:eastAsia="Times New Roman" w:hAnsi="Work Sans" w:cs="Segoe UI"/>
                <w:b/>
                <w:bCs/>
                <w:i/>
                <w:color w:val="ED5C57"/>
                <w:sz w:val="16"/>
                <w:szCs w:val="16"/>
                <w:bdr w:val="none" w:sz="0" w:space="0" w:color="auto" w:frame="1"/>
                <w:lang w:eastAsia="it-IT"/>
              </w:rPr>
              <w:t>C.2 Monitoraggio del Sistema di Assicurazione della Qualità dell’Ateneo</w:t>
            </w:r>
          </w:p>
          <w:p w14:paraId="4F90B026" w14:textId="77777777" w:rsidR="00A1633F" w:rsidRPr="00A1633F" w:rsidRDefault="00A1633F" w:rsidP="0021592B">
            <w:pPr>
              <w:shd w:val="clear" w:color="auto" w:fill="FFFFFF"/>
              <w:jc w:val="both"/>
              <w:textAlignment w:val="baseline"/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lang w:eastAsia="it-IT"/>
              </w:rPr>
            </w:pPr>
            <w:r w:rsidRPr="00A1633F">
              <w:rPr>
                <w:rFonts w:ascii="Work Sans" w:eastAsia="Times New Roman" w:hAnsi="Work Sans" w:cs="Segoe UI"/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C.2.1 </w:t>
            </w:r>
            <w:r w:rsidRPr="00A1633F"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Le strutture responsabili dell'Assicurazione della Qualità monitorano sistematicamente l’efficacia del Sistema di AQ, rilevano gli eventuali problemi di loro competenza, propongono azioni di miglioramento plausibili e realizzabili e ne verificano adeguatamente l'efficacia. </w:t>
            </w:r>
          </w:p>
          <w:p w14:paraId="7CC26F0D" w14:textId="77777777" w:rsidR="00A1633F" w:rsidRPr="00A1633F" w:rsidRDefault="00A1633F" w:rsidP="0021592B">
            <w:pPr>
              <w:shd w:val="clear" w:color="auto" w:fill="FFFFFF"/>
              <w:jc w:val="both"/>
              <w:textAlignment w:val="baseline"/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lang w:eastAsia="it-IT"/>
              </w:rPr>
            </w:pPr>
            <w:r w:rsidRPr="00A1633F">
              <w:rPr>
                <w:rFonts w:ascii="Work Sans" w:eastAsia="Times New Roman" w:hAnsi="Work Sans" w:cs="Segoe UI"/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NOTA: </w:t>
            </w:r>
          </w:p>
          <w:p w14:paraId="4A2B5057" w14:textId="77777777" w:rsidR="00A1633F" w:rsidRPr="00A1633F" w:rsidRDefault="00A1633F" w:rsidP="0021592B">
            <w:pPr>
              <w:shd w:val="clear" w:color="auto" w:fill="FFFFFF"/>
              <w:jc w:val="both"/>
              <w:textAlignment w:val="baseline"/>
              <w:rPr>
                <w:rFonts w:ascii="Work Sans" w:eastAsia="Times New Roman" w:hAnsi="Work Sans" w:cs="Segoe UI"/>
                <w:b/>
                <w:bCs/>
                <w:i/>
                <w:color w:val="ED5C57"/>
                <w:sz w:val="16"/>
                <w:szCs w:val="16"/>
                <w:bdr w:val="none" w:sz="0" w:space="0" w:color="auto" w:frame="1"/>
                <w:lang w:eastAsia="it-IT"/>
              </w:rPr>
            </w:pPr>
            <w:r w:rsidRPr="00A1633F"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Le strutture responsabili dell'AQ sono il Presidio di Qualità, il Nucleo di Valutazione, le Commissioni Paritetiche Studenti-Docenti, le Commissioni didattiche, le Commissioni per la ricerca e la terza missione/impatto sociale, le Facoltà/Scuole/Strutture di Coordinamento, i Dipartimenti, i Corsi di Studio, i Dottorati di Ricerca, le </w:t>
            </w:r>
            <w:r w:rsidRPr="00A1633F">
              <w:rPr>
                <w:rFonts w:ascii="Work Sans" w:eastAsia="Times New Roman" w:hAnsi="Work Sans" w:cs="Segoe UI"/>
                <w:b/>
                <w:bCs/>
                <w:i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Scuole di Specializzazione</w:t>
            </w:r>
            <w:r w:rsidRPr="00A1633F"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 xml:space="preserve">. Le attività di monitoraggio dell’efficacia del Sistema di AQ vengono svolte dai </w:t>
            </w:r>
            <w:proofErr w:type="spellStart"/>
            <w:r w:rsidRPr="00A1633F"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CdS</w:t>
            </w:r>
            <w:proofErr w:type="spellEnd"/>
            <w:r w:rsidRPr="00A1633F">
              <w:rPr>
                <w:rFonts w:ascii="Work Sans" w:eastAsia="Times New Roman" w:hAnsi="Work Sans" w:cs="Segoe UI"/>
                <w:i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, dai dottorati, dalle CPDS, dai Dipartimenti con la supervisione del Presidio della Qualità per le tematiche di relativa competenza.</w:t>
            </w:r>
          </w:p>
        </w:tc>
      </w:tr>
    </w:tbl>
    <w:p w14:paraId="24D038DD" w14:textId="77777777" w:rsidR="00A641FB" w:rsidRPr="00A641FB" w:rsidRDefault="00A641FB" w:rsidP="00A641FB">
      <w:pPr>
        <w:spacing w:after="120" w:line="216" w:lineRule="auto"/>
        <w:ind w:left="709"/>
        <w:contextualSpacing/>
        <w:rPr>
          <w:rFonts w:ascii="Work Sans" w:eastAsia="Times New Roman" w:hAnsi="Work Sans" w:cs="Lucida Sans Unicode"/>
          <w:b/>
          <w:color w:val="000000"/>
          <w:lang w:eastAsia="it-IT"/>
        </w:rPr>
      </w:pPr>
    </w:p>
    <w:p w14:paraId="4E01CA53" w14:textId="0B96219B" w:rsidR="00CC17FA" w:rsidRPr="00E245D9" w:rsidRDefault="00CC17FA" w:rsidP="00E70186">
      <w:pPr>
        <w:numPr>
          <w:ilvl w:val="0"/>
          <w:numId w:val="12"/>
        </w:numPr>
        <w:shd w:val="clear" w:color="auto" w:fill="E6E6E6"/>
        <w:spacing w:after="120" w:line="216" w:lineRule="auto"/>
        <w:ind w:left="426" w:hanging="426"/>
        <w:contextualSpacing/>
        <w:rPr>
          <w:rFonts w:ascii="Work Sans" w:eastAsia="Times New Roman" w:hAnsi="Work Sans" w:cs="Lucida Sans Unicode"/>
          <w:b/>
          <w:color w:val="000000"/>
          <w:lang w:eastAsia="it-IT"/>
        </w:rPr>
      </w:pPr>
      <w:r w:rsidRPr="00E245D9">
        <w:rPr>
          <w:rFonts w:ascii="Work Sans" w:eastAsia="Times New Roman" w:hAnsi="Work Sans" w:cs="Times New Roman"/>
          <w:b/>
          <w:lang w:eastAsia="it-IT"/>
        </w:rPr>
        <w:t>Punti di forza, punti di debolezza e relative azioni per il miglioramento</w:t>
      </w:r>
    </w:p>
    <w:p w14:paraId="35BBB848" w14:textId="40E90017" w:rsidR="00CC17FA" w:rsidRPr="00E245D9" w:rsidRDefault="00CC17FA" w:rsidP="00CC17FA">
      <w:pPr>
        <w:spacing w:after="0" w:line="240" w:lineRule="auto"/>
        <w:rPr>
          <w:rFonts w:ascii="Work Sans" w:eastAsia="Times New Roman" w:hAnsi="Work Sans" w:cs="Lucida Sans Unicode"/>
          <w:bCs/>
          <w:color w:val="000000"/>
          <w:lang w:eastAsia="it-IT"/>
        </w:rPr>
      </w:pPr>
      <w:r w:rsidRPr="00E245D9">
        <w:rPr>
          <w:rFonts w:ascii="Work Sans" w:eastAsia="Times New Roman" w:hAnsi="Work Sans" w:cs="Lucida Sans Unicode"/>
          <w:bCs/>
          <w:color w:val="000000"/>
          <w:lang w:eastAsia="it-IT"/>
        </w:rPr>
        <w:t xml:space="preserve">Sulla base dell’analisi fatta </w:t>
      </w:r>
      <w:r w:rsidR="00E245D9" w:rsidRPr="00E245D9">
        <w:rPr>
          <w:rFonts w:ascii="Work Sans" w:eastAsia="Times New Roman" w:hAnsi="Work Sans" w:cs="Lucida Sans Unicode"/>
          <w:bCs/>
          <w:color w:val="000000"/>
          <w:lang w:eastAsia="it-IT"/>
        </w:rPr>
        <w:t>la SSP</w:t>
      </w:r>
      <w:r w:rsidRPr="00E245D9">
        <w:rPr>
          <w:rFonts w:ascii="Work Sans" w:eastAsia="Times New Roman" w:hAnsi="Work Sans" w:cs="Lucida Sans Unicode"/>
          <w:bCs/>
          <w:color w:val="000000"/>
          <w:lang w:eastAsia="it-IT"/>
        </w:rPr>
        <w:t xml:space="preserve"> individua i suoi punti forza e i suoi punti di debolezza e pianifica le azioni di miglioramento. </w:t>
      </w:r>
    </w:p>
    <w:p w14:paraId="1A96B222" w14:textId="3E1D57D2" w:rsidR="00CC17FA" w:rsidRDefault="00CC17FA" w:rsidP="00CC17FA">
      <w:pPr>
        <w:spacing w:after="0" w:line="240" w:lineRule="auto"/>
        <w:rPr>
          <w:rFonts w:ascii="Work Sans" w:eastAsia="Times New Roman" w:hAnsi="Work Sans" w:cs="Lucida Sans Unicode"/>
          <w:b/>
          <w:color w:val="000000"/>
          <w:lang w:eastAsia="it-IT"/>
        </w:rPr>
      </w:pPr>
    </w:p>
    <w:tbl>
      <w:tblPr>
        <w:tblW w:w="0" w:type="auto"/>
        <w:tblInd w:w="108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1E0" w:firstRow="1" w:lastRow="1" w:firstColumn="1" w:lastColumn="1" w:noHBand="0" w:noVBand="0"/>
      </w:tblPr>
      <w:tblGrid>
        <w:gridCol w:w="5088"/>
        <w:gridCol w:w="4538"/>
      </w:tblGrid>
      <w:tr w:rsidR="00877833" w:rsidRPr="00B3693F" w14:paraId="29522FF5" w14:textId="77777777" w:rsidTr="00DF76D9">
        <w:tc>
          <w:tcPr>
            <w:tcW w:w="5088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14:paraId="7F771249" w14:textId="1F57E5FA" w:rsidR="00877833" w:rsidRPr="00C0694A" w:rsidRDefault="00877833" w:rsidP="00E676EE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lang w:eastAsia="it-IT"/>
              </w:rPr>
            </w:pPr>
            <w:r w:rsidRPr="00C0694A">
              <w:rPr>
                <w:rFonts w:ascii="Work Sans" w:eastAsia="Times New Roman" w:hAnsi="Work Sans" w:cs="Times New Roman"/>
                <w:lang w:eastAsia="it-IT"/>
              </w:rPr>
              <w:t>Quali sono i punti di forza del</w:t>
            </w:r>
            <w:r w:rsidR="00B3693F" w:rsidRPr="00C0694A">
              <w:rPr>
                <w:rFonts w:ascii="Work Sans" w:eastAsia="Times New Roman" w:hAnsi="Work Sans" w:cs="Times New Roman"/>
                <w:lang w:eastAsia="it-IT"/>
              </w:rPr>
              <w:t>la</w:t>
            </w:r>
            <w:r w:rsidRPr="00C0694A">
              <w:rPr>
                <w:rFonts w:ascii="Work Sans" w:eastAsia="Times New Roman" w:hAnsi="Work Sans" w:cs="Times New Roman"/>
                <w:lang w:eastAsia="it-IT"/>
              </w:rPr>
              <w:t xml:space="preserve"> </w:t>
            </w:r>
            <w:r w:rsidR="00B3693F" w:rsidRPr="00C0694A">
              <w:rPr>
                <w:rFonts w:ascii="Work Sans" w:eastAsia="Times New Roman" w:hAnsi="Work Sans" w:cs="Times New Roman"/>
                <w:lang w:eastAsia="it-IT"/>
              </w:rPr>
              <w:t>SSP</w:t>
            </w:r>
            <w:r w:rsidRPr="00C0694A">
              <w:rPr>
                <w:rFonts w:ascii="Work Sans" w:eastAsia="Times New Roman" w:hAnsi="Work Sans" w:cs="Times New Roman"/>
                <w:lang w:eastAsia="it-IT"/>
              </w:rPr>
              <w:t xml:space="preserve"> in relazione a:</w:t>
            </w:r>
          </w:p>
          <w:p w14:paraId="1605781A" w14:textId="77777777" w:rsidR="00877833" w:rsidRPr="00C0694A" w:rsidRDefault="00877833" w:rsidP="00E676EE">
            <w:pPr>
              <w:numPr>
                <w:ilvl w:val="0"/>
                <w:numId w:val="15"/>
              </w:numPr>
              <w:spacing w:after="0" w:line="240" w:lineRule="auto"/>
              <w:ind w:left="613" w:hanging="142"/>
              <w:contextualSpacing/>
              <w:jc w:val="both"/>
              <w:rPr>
                <w:rFonts w:ascii="Work Sans" w:eastAsia="Times New Roman" w:hAnsi="Work Sans" w:cs="Times New Roman"/>
                <w:lang w:eastAsia="it-IT"/>
              </w:rPr>
            </w:pPr>
            <w:r w:rsidRPr="00C0694A">
              <w:rPr>
                <w:rFonts w:ascii="Work Sans" w:eastAsia="Times New Roman" w:hAnsi="Work Sans" w:cs="Times New Roman"/>
                <w:lang w:eastAsia="it-IT"/>
              </w:rPr>
              <w:t>internazionalizzazione;</w:t>
            </w:r>
          </w:p>
          <w:p w14:paraId="6ADD4167" w14:textId="77777777" w:rsidR="00877833" w:rsidRPr="00C0694A" w:rsidRDefault="00877833" w:rsidP="00E676EE">
            <w:pPr>
              <w:numPr>
                <w:ilvl w:val="0"/>
                <w:numId w:val="15"/>
              </w:numPr>
              <w:spacing w:after="0" w:line="240" w:lineRule="auto"/>
              <w:ind w:left="613" w:hanging="142"/>
              <w:contextualSpacing/>
              <w:jc w:val="both"/>
              <w:rPr>
                <w:rFonts w:ascii="Work Sans" w:eastAsia="Times New Roman" w:hAnsi="Work Sans" w:cs="Times New Roman"/>
                <w:lang w:eastAsia="it-IT"/>
              </w:rPr>
            </w:pPr>
            <w:r w:rsidRPr="00C0694A">
              <w:rPr>
                <w:rFonts w:ascii="Work Sans" w:eastAsia="Times New Roman" w:hAnsi="Work Sans" w:cs="Times New Roman"/>
                <w:lang w:eastAsia="it-IT"/>
              </w:rPr>
              <w:t>attrattività;</w:t>
            </w:r>
          </w:p>
          <w:p w14:paraId="452302F4" w14:textId="77777777" w:rsidR="00877833" w:rsidRPr="00C0694A" w:rsidRDefault="00877833" w:rsidP="00E676EE">
            <w:pPr>
              <w:numPr>
                <w:ilvl w:val="0"/>
                <w:numId w:val="15"/>
              </w:numPr>
              <w:spacing w:after="0" w:line="240" w:lineRule="auto"/>
              <w:ind w:left="613" w:hanging="142"/>
              <w:contextualSpacing/>
              <w:jc w:val="both"/>
              <w:rPr>
                <w:rFonts w:ascii="Work Sans" w:eastAsia="Times New Roman" w:hAnsi="Work Sans" w:cs="Times New Roman"/>
                <w:lang w:eastAsia="it-IT"/>
              </w:rPr>
            </w:pPr>
            <w:r w:rsidRPr="00C0694A">
              <w:rPr>
                <w:rFonts w:ascii="Work Sans" w:eastAsia="Times New Roman" w:hAnsi="Work Sans" w:cs="Times New Roman"/>
                <w:lang w:eastAsia="it-IT"/>
              </w:rPr>
              <w:t>ricerca scientifica;</w:t>
            </w:r>
          </w:p>
          <w:p w14:paraId="6B353244" w14:textId="77777777" w:rsidR="00877833" w:rsidRPr="00C0694A" w:rsidRDefault="00877833" w:rsidP="00E676EE">
            <w:pPr>
              <w:numPr>
                <w:ilvl w:val="0"/>
                <w:numId w:val="15"/>
              </w:numPr>
              <w:spacing w:after="0" w:line="240" w:lineRule="auto"/>
              <w:ind w:left="613" w:hanging="142"/>
              <w:contextualSpacing/>
              <w:jc w:val="both"/>
              <w:rPr>
                <w:rFonts w:ascii="Work Sans" w:eastAsia="Times New Roman" w:hAnsi="Work Sans" w:cs="Times New Roman"/>
                <w:lang w:eastAsia="it-IT"/>
              </w:rPr>
            </w:pPr>
            <w:r w:rsidRPr="00C0694A">
              <w:rPr>
                <w:rFonts w:ascii="Work Sans" w:eastAsia="Times New Roman" w:hAnsi="Work Sans" w:cs="Times New Roman"/>
                <w:lang w:eastAsia="it-IT"/>
              </w:rPr>
              <w:t>offerta formativa;</w:t>
            </w:r>
          </w:p>
          <w:p w14:paraId="72D63C8F" w14:textId="77777777" w:rsidR="00877833" w:rsidRPr="00C0694A" w:rsidRDefault="00877833" w:rsidP="00E676EE">
            <w:pPr>
              <w:numPr>
                <w:ilvl w:val="0"/>
                <w:numId w:val="15"/>
              </w:numPr>
              <w:spacing w:after="0" w:line="240" w:lineRule="auto"/>
              <w:ind w:left="613" w:hanging="142"/>
              <w:contextualSpacing/>
              <w:jc w:val="both"/>
              <w:rPr>
                <w:rFonts w:ascii="Work Sans" w:eastAsia="Times New Roman" w:hAnsi="Work Sans" w:cs="Times New Roman"/>
                <w:lang w:eastAsia="it-IT"/>
              </w:rPr>
            </w:pPr>
            <w:r w:rsidRPr="00C0694A">
              <w:rPr>
                <w:rFonts w:ascii="Work Sans" w:eastAsia="Times New Roman" w:hAnsi="Work Sans" w:cs="Times New Roman"/>
                <w:lang w:eastAsia="it-IT"/>
              </w:rPr>
              <w:t>strutture operative e scientifiche;</w:t>
            </w:r>
          </w:p>
          <w:p w14:paraId="26F76F21" w14:textId="66D48840" w:rsidR="00877833" w:rsidRPr="00C0694A" w:rsidRDefault="00877833" w:rsidP="00E70186">
            <w:pPr>
              <w:numPr>
                <w:ilvl w:val="0"/>
                <w:numId w:val="15"/>
              </w:numPr>
              <w:spacing w:after="0" w:line="240" w:lineRule="auto"/>
              <w:ind w:left="613" w:hanging="142"/>
              <w:contextualSpacing/>
              <w:jc w:val="both"/>
              <w:rPr>
                <w:rFonts w:ascii="Work Sans" w:eastAsia="Times New Roman" w:hAnsi="Work Sans" w:cs="Times New Roman"/>
                <w:lang w:eastAsia="it-IT"/>
              </w:rPr>
            </w:pPr>
            <w:r w:rsidRPr="00C0694A">
              <w:rPr>
                <w:rFonts w:ascii="Work Sans" w:eastAsia="Times New Roman" w:hAnsi="Work Sans" w:cs="Times New Roman"/>
                <w:lang w:eastAsia="it-IT"/>
              </w:rPr>
              <w:t>sbocchi occupazionali de</w:t>
            </w:r>
            <w:r w:rsidR="00B3693F" w:rsidRPr="00C0694A">
              <w:rPr>
                <w:rFonts w:ascii="Work Sans" w:eastAsia="Times New Roman" w:hAnsi="Work Sans" w:cs="Times New Roman"/>
                <w:lang w:eastAsia="it-IT"/>
              </w:rPr>
              <w:t>gli</w:t>
            </w:r>
            <w:r w:rsidRPr="00C0694A">
              <w:rPr>
                <w:rFonts w:ascii="Work Sans" w:eastAsia="Times New Roman" w:hAnsi="Work Sans" w:cs="Times New Roman"/>
                <w:lang w:eastAsia="it-IT"/>
              </w:rPr>
              <w:t xml:space="preserve"> </w:t>
            </w:r>
            <w:r w:rsidR="00B3693F" w:rsidRPr="00C0694A">
              <w:rPr>
                <w:rFonts w:ascii="Work Sans" w:eastAsia="Times New Roman" w:hAnsi="Work Sans" w:cs="Times New Roman"/>
                <w:lang w:eastAsia="it-IT"/>
              </w:rPr>
              <w:t>specializzandi</w:t>
            </w:r>
            <w:r w:rsidRPr="00C0694A">
              <w:rPr>
                <w:rFonts w:ascii="Work Sans" w:eastAsia="Times New Roman" w:hAnsi="Work Sans" w:cs="Times New Roman"/>
                <w:lang w:eastAsia="it-IT"/>
              </w:rPr>
              <w:t xml:space="preserve">. </w:t>
            </w:r>
          </w:p>
        </w:tc>
        <w:tc>
          <w:tcPr>
            <w:tcW w:w="4538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14:paraId="7D6F13A9" w14:textId="77777777" w:rsidR="00877833" w:rsidRPr="00B3693F" w:rsidRDefault="00877833" w:rsidP="00E676EE">
            <w:pPr>
              <w:spacing w:after="200" w:line="276" w:lineRule="auto"/>
              <w:rPr>
                <w:rFonts w:ascii="Work Sans" w:eastAsia="Times New Roman" w:hAnsi="Work Sans" w:cs="Lucida Sans Unicode"/>
                <w:b/>
                <w:color w:val="000000"/>
                <w:lang w:eastAsia="it-IT"/>
              </w:rPr>
            </w:pPr>
          </w:p>
        </w:tc>
      </w:tr>
      <w:tr w:rsidR="00877833" w:rsidRPr="00B3693F" w14:paraId="7D018201" w14:textId="77777777" w:rsidTr="00DF76D9">
        <w:tc>
          <w:tcPr>
            <w:tcW w:w="5088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14:paraId="5106A3B1" w14:textId="30536617" w:rsidR="00877833" w:rsidRPr="00C0694A" w:rsidRDefault="00877833" w:rsidP="00E676EE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lang w:eastAsia="it-IT"/>
              </w:rPr>
            </w:pPr>
            <w:r w:rsidRPr="00C0694A">
              <w:rPr>
                <w:rFonts w:ascii="Work Sans" w:eastAsia="Times New Roman" w:hAnsi="Work Sans" w:cs="Times New Roman"/>
                <w:lang w:eastAsia="it-IT"/>
              </w:rPr>
              <w:t>Quali sono i punti di debolezza del</w:t>
            </w:r>
            <w:r w:rsidR="00B3693F" w:rsidRPr="00C0694A">
              <w:rPr>
                <w:rFonts w:ascii="Work Sans" w:eastAsia="Times New Roman" w:hAnsi="Work Sans" w:cs="Times New Roman"/>
                <w:lang w:eastAsia="it-IT"/>
              </w:rPr>
              <w:t>la SSP</w:t>
            </w:r>
            <w:r w:rsidRPr="00C0694A">
              <w:rPr>
                <w:rFonts w:ascii="Work Sans" w:eastAsia="Times New Roman" w:hAnsi="Work Sans" w:cs="Times New Roman"/>
                <w:lang w:eastAsia="it-IT"/>
              </w:rPr>
              <w:t xml:space="preserve"> in relazione a:</w:t>
            </w:r>
          </w:p>
          <w:p w14:paraId="408A2CC6" w14:textId="77777777" w:rsidR="00B3693F" w:rsidRPr="00C0694A" w:rsidRDefault="00B3693F" w:rsidP="00B3693F">
            <w:pPr>
              <w:numPr>
                <w:ilvl w:val="0"/>
                <w:numId w:val="15"/>
              </w:numPr>
              <w:spacing w:after="0" w:line="240" w:lineRule="auto"/>
              <w:ind w:left="613" w:hanging="142"/>
              <w:contextualSpacing/>
              <w:jc w:val="both"/>
              <w:rPr>
                <w:rFonts w:ascii="Work Sans" w:eastAsia="Times New Roman" w:hAnsi="Work Sans" w:cs="Times New Roman"/>
                <w:lang w:eastAsia="it-IT"/>
              </w:rPr>
            </w:pPr>
            <w:r w:rsidRPr="00C0694A">
              <w:rPr>
                <w:rFonts w:ascii="Work Sans" w:eastAsia="Times New Roman" w:hAnsi="Work Sans" w:cs="Times New Roman"/>
                <w:lang w:eastAsia="it-IT"/>
              </w:rPr>
              <w:t>internazionalizzazione;</w:t>
            </w:r>
          </w:p>
          <w:p w14:paraId="0FE48645" w14:textId="77777777" w:rsidR="00B3693F" w:rsidRPr="00C0694A" w:rsidRDefault="00B3693F" w:rsidP="00B3693F">
            <w:pPr>
              <w:numPr>
                <w:ilvl w:val="0"/>
                <w:numId w:val="15"/>
              </w:numPr>
              <w:spacing w:after="0" w:line="240" w:lineRule="auto"/>
              <w:ind w:left="613" w:hanging="142"/>
              <w:contextualSpacing/>
              <w:jc w:val="both"/>
              <w:rPr>
                <w:rFonts w:ascii="Work Sans" w:eastAsia="Times New Roman" w:hAnsi="Work Sans" w:cs="Times New Roman"/>
                <w:lang w:eastAsia="it-IT"/>
              </w:rPr>
            </w:pPr>
            <w:r w:rsidRPr="00C0694A">
              <w:rPr>
                <w:rFonts w:ascii="Work Sans" w:eastAsia="Times New Roman" w:hAnsi="Work Sans" w:cs="Times New Roman"/>
                <w:lang w:eastAsia="it-IT"/>
              </w:rPr>
              <w:t>attrattività;</w:t>
            </w:r>
          </w:p>
          <w:p w14:paraId="4CFFAC7A" w14:textId="77777777" w:rsidR="00B3693F" w:rsidRPr="00C0694A" w:rsidRDefault="00B3693F" w:rsidP="00B3693F">
            <w:pPr>
              <w:numPr>
                <w:ilvl w:val="0"/>
                <w:numId w:val="15"/>
              </w:numPr>
              <w:spacing w:after="0" w:line="240" w:lineRule="auto"/>
              <w:ind w:left="613" w:hanging="142"/>
              <w:contextualSpacing/>
              <w:jc w:val="both"/>
              <w:rPr>
                <w:rFonts w:ascii="Work Sans" w:eastAsia="Times New Roman" w:hAnsi="Work Sans" w:cs="Times New Roman"/>
                <w:lang w:eastAsia="it-IT"/>
              </w:rPr>
            </w:pPr>
            <w:r w:rsidRPr="00C0694A">
              <w:rPr>
                <w:rFonts w:ascii="Work Sans" w:eastAsia="Times New Roman" w:hAnsi="Work Sans" w:cs="Times New Roman"/>
                <w:lang w:eastAsia="it-IT"/>
              </w:rPr>
              <w:t>ricerca scientifica;</w:t>
            </w:r>
          </w:p>
          <w:p w14:paraId="0788B2FE" w14:textId="77777777" w:rsidR="00B3693F" w:rsidRPr="00C0694A" w:rsidRDefault="00B3693F" w:rsidP="00B3693F">
            <w:pPr>
              <w:numPr>
                <w:ilvl w:val="0"/>
                <w:numId w:val="15"/>
              </w:numPr>
              <w:spacing w:after="0" w:line="240" w:lineRule="auto"/>
              <w:ind w:left="613" w:hanging="142"/>
              <w:contextualSpacing/>
              <w:jc w:val="both"/>
              <w:rPr>
                <w:rFonts w:ascii="Work Sans" w:eastAsia="Times New Roman" w:hAnsi="Work Sans" w:cs="Times New Roman"/>
                <w:lang w:eastAsia="it-IT"/>
              </w:rPr>
            </w:pPr>
            <w:r w:rsidRPr="00C0694A">
              <w:rPr>
                <w:rFonts w:ascii="Work Sans" w:eastAsia="Times New Roman" w:hAnsi="Work Sans" w:cs="Times New Roman"/>
                <w:lang w:eastAsia="it-IT"/>
              </w:rPr>
              <w:t>offerta formativa;</w:t>
            </w:r>
          </w:p>
          <w:p w14:paraId="2247789E" w14:textId="77777777" w:rsidR="00B3693F" w:rsidRPr="00C0694A" w:rsidRDefault="00B3693F" w:rsidP="00B3693F">
            <w:pPr>
              <w:numPr>
                <w:ilvl w:val="0"/>
                <w:numId w:val="15"/>
              </w:numPr>
              <w:spacing w:after="0" w:line="240" w:lineRule="auto"/>
              <w:ind w:left="613" w:hanging="142"/>
              <w:contextualSpacing/>
              <w:jc w:val="both"/>
              <w:rPr>
                <w:rFonts w:ascii="Work Sans" w:eastAsia="Times New Roman" w:hAnsi="Work Sans" w:cs="Times New Roman"/>
                <w:lang w:eastAsia="it-IT"/>
              </w:rPr>
            </w:pPr>
            <w:r w:rsidRPr="00C0694A">
              <w:rPr>
                <w:rFonts w:ascii="Work Sans" w:eastAsia="Times New Roman" w:hAnsi="Work Sans" w:cs="Times New Roman"/>
                <w:lang w:eastAsia="it-IT"/>
              </w:rPr>
              <w:t>strutture operative e scientifiche;</w:t>
            </w:r>
          </w:p>
          <w:p w14:paraId="00848CB0" w14:textId="4A818B94" w:rsidR="00877833" w:rsidRPr="00C0694A" w:rsidRDefault="00B3693F" w:rsidP="00E70186">
            <w:pPr>
              <w:numPr>
                <w:ilvl w:val="0"/>
                <w:numId w:val="15"/>
              </w:numPr>
              <w:spacing w:after="0" w:line="240" w:lineRule="auto"/>
              <w:ind w:left="613" w:hanging="142"/>
              <w:contextualSpacing/>
              <w:jc w:val="both"/>
              <w:rPr>
                <w:rFonts w:ascii="Work Sans" w:eastAsia="Times New Roman" w:hAnsi="Work Sans" w:cs="Times New Roman"/>
                <w:lang w:eastAsia="it-IT"/>
              </w:rPr>
            </w:pPr>
            <w:r w:rsidRPr="00C0694A">
              <w:rPr>
                <w:rFonts w:ascii="Work Sans" w:eastAsia="Times New Roman" w:hAnsi="Work Sans" w:cs="Times New Roman"/>
                <w:lang w:eastAsia="it-IT"/>
              </w:rPr>
              <w:t>sbocchi occupazionali degli specializzandi.</w:t>
            </w:r>
          </w:p>
        </w:tc>
        <w:tc>
          <w:tcPr>
            <w:tcW w:w="4538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14:paraId="7815F268" w14:textId="77777777" w:rsidR="00877833" w:rsidRPr="00B3693F" w:rsidRDefault="00877833" w:rsidP="00E676EE">
            <w:pPr>
              <w:spacing w:after="200" w:line="276" w:lineRule="auto"/>
              <w:rPr>
                <w:rFonts w:ascii="Work Sans" w:eastAsia="Times New Roman" w:hAnsi="Work Sans" w:cs="Lucida Sans Unicode"/>
                <w:b/>
                <w:color w:val="000000"/>
                <w:lang w:eastAsia="it-IT"/>
              </w:rPr>
            </w:pPr>
          </w:p>
        </w:tc>
      </w:tr>
      <w:tr w:rsidR="00877833" w:rsidRPr="00B3693F" w14:paraId="763982DB" w14:textId="77777777" w:rsidTr="00DF76D9">
        <w:tc>
          <w:tcPr>
            <w:tcW w:w="5088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14:paraId="3DE56044" w14:textId="3AB48DC8" w:rsidR="00877833" w:rsidRDefault="00877833" w:rsidP="00E676EE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bCs/>
                <w:lang w:eastAsia="it-IT"/>
              </w:rPr>
            </w:pPr>
            <w:r w:rsidRPr="00B3693F">
              <w:rPr>
                <w:rFonts w:ascii="Work Sans" w:eastAsia="Times New Roman" w:hAnsi="Work Sans" w:cs="Times New Roman"/>
                <w:lang w:eastAsia="it-IT"/>
              </w:rPr>
              <w:t>In relazione ai punti di debolezza, si individuano le seguenti azioni correttive:</w:t>
            </w:r>
            <w:r w:rsidRPr="00B3693F">
              <w:rPr>
                <w:rFonts w:ascii="Work Sans" w:eastAsia="Times New Roman" w:hAnsi="Work Sans" w:cs="Times New Roman"/>
                <w:b/>
                <w:bCs/>
                <w:lang w:eastAsia="it-IT"/>
              </w:rPr>
              <w:t xml:space="preserve"> </w:t>
            </w:r>
          </w:p>
          <w:p w14:paraId="3BAFFD42" w14:textId="77777777" w:rsidR="00E70186" w:rsidRDefault="00E70186" w:rsidP="00E676EE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bCs/>
                <w:lang w:eastAsia="it-IT"/>
              </w:rPr>
            </w:pPr>
          </w:p>
          <w:p w14:paraId="23AAECF1" w14:textId="77777777" w:rsidR="00877833" w:rsidRPr="00B3693F" w:rsidRDefault="00877833" w:rsidP="00E676EE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lang w:eastAsia="it-IT"/>
              </w:rPr>
            </w:pPr>
            <w:r w:rsidRPr="00B3693F">
              <w:rPr>
                <w:rFonts w:ascii="Work Sans" w:eastAsia="Times New Roman" w:hAnsi="Work Sans" w:cs="Times New Roman"/>
                <w:b/>
                <w:bCs/>
                <w:lang w:eastAsia="it-IT"/>
              </w:rPr>
              <w:t>Obiettivo</w:t>
            </w:r>
            <w:r w:rsidRPr="00B3693F">
              <w:rPr>
                <w:rFonts w:ascii="Work Sans" w:eastAsia="Times New Roman" w:hAnsi="Work Sans" w:cs="Times New Roman"/>
                <w:lang w:eastAsia="it-IT"/>
              </w:rPr>
              <w:t xml:space="preserve">: (titolo e descrizione) </w:t>
            </w:r>
          </w:p>
          <w:p w14:paraId="6F50A407" w14:textId="77777777" w:rsidR="00877833" w:rsidRPr="00B3693F" w:rsidRDefault="00877833" w:rsidP="00E676EE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lang w:eastAsia="it-IT"/>
              </w:rPr>
            </w:pPr>
            <w:r w:rsidRPr="00B3693F">
              <w:rPr>
                <w:rFonts w:ascii="Work Sans" w:eastAsia="Times New Roman" w:hAnsi="Work Sans" w:cs="Times New Roman"/>
                <w:b/>
                <w:bCs/>
                <w:lang w:eastAsia="it-IT"/>
              </w:rPr>
              <w:t>Azioni da intraprendere</w:t>
            </w:r>
            <w:r w:rsidRPr="00B3693F">
              <w:rPr>
                <w:rFonts w:ascii="Work Sans" w:eastAsia="Times New Roman" w:hAnsi="Work Sans" w:cs="Times New Roman"/>
                <w:lang w:eastAsia="it-IT"/>
              </w:rPr>
              <w:t xml:space="preserve">: (descrizione) </w:t>
            </w:r>
          </w:p>
          <w:p w14:paraId="03B18F84" w14:textId="77777777" w:rsidR="00877833" w:rsidRPr="00B3693F" w:rsidRDefault="00877833" w:rsidP="00E676EE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lang w:eastAsia="it-IT"/>
              </w:rPr>
            </w:pPr>
            <w:r w:rsidRPr="00B3693F">
              <w:rPr>
                <w:rFonts w:ascii="Work Sans" w:eastAsia="Times New Roman" w:hAnsi="Work Sans" w:cs="Times New Roman"/>
                <w:b/>
                <w:bCs/>
                <w:lang w:eastAsia="it-IT"/>
              </w:rPr>
              <w:t>Modalità, risorse, scadenze previste, target, responsabilità</w:t>
            </w:r>
            <w:r w:rsidRPr="00B3693F">
              <w:rPr>
                <w:rFonts w:ascii="Work Sans" w:eastAsia="Times New Roman" w:hAnsi="Work Sans" w:cs="Times New Roman"/>
                <w:lang w:eastAsia="it-IT"/>
              </w:rPr>
              <w:t>: (descrizione)</w:t>
            </w:r>
          </w:p>
        </w:tc>
        <w:tc>
          <w:tcPr>
            <w:tcW w:w="4538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14:paraId="4DDB6EE1" w14:textId="77777777" w:rsidR="00877833" w:rsidRPr="00B3693F" w:rsidRDefault="00877833" w:rsidP="00E676EE">
            <w:pPr>
              <w:spacing w:after="200" w:line="276" w:lineRule="auto"/>
              <w:rPr>
                <w:rFonts w:ascii="Work Sans" w:eastAsia="Times New Roman" w:hAnsi="Work Sans" w:cs="Lucida Sans Unicode"/>
                <w:b/>
                <w:color w:val="000000"/>
                <w:lang w:eastAsia="it-IT"/>
              </w:rPr>
            </w:pPr>
          </w:p>
        </w:tc>
      </w:tr>
      <w:tr w:rsidR="00877833" w:rsidRPr="00B3693F" w14:paraId="60966B98" w14:textId="77777777" w:rsidTr="00DF76D9">
        <w:tc>
          <w:tcPr>
            <w:tcW w:w="5088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14:paraId="175DF296" w14:textId="6993B161" w:rsidR="00877833" w:rsidRDefault="00877833" w:rsidP="00E676EE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lang w:eastAsia="it-IT"/>
              </w:rPr>
            </w:pPr>
            <w:r w:rsidRPr="00B3693F">
              <w:rPr>
                <w:rFonts w:ascii="Work Sans" w:eastAsia="Times New Roman" w:hAnsi="Work Sans" w:cs="Times New Roman"/>
                <w:lang w:eastAsia="it-IT"/>
              </w:rPr>
              <w:t>In relazione alle azioni correttive intraprese nell’anno precedente:</w:t>
            </w:r>
          </w:p>
          <w:p w14:paraId="6208BF5C" w14:textId="77777777" w:rsidR="00E70186" w:rsidRPr="00B3693F" w:rsidRDefault="00E70186" w:rsidP="00E676EE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lang w:eastAsia="it-IT"/>
              </w:rPr>
            </w:pPr>
          </w:p>
          <w:p w14:paraId="766FA496" w14:textId="77777777" w:rsidR="00877833" w:rsidRPr="00B3693F" w:rsidRDefault="00877833" w:rsidP="00E676EE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lang w:eastAsia="it-IT"/>
              </w:rPr>
            </w:pPr>
            <w:r w:rsidRPr="00B3693F">
              <w:rPr>
                <w:rFonts w:ascii="Work Sans" w:eastAsia="Times New Roman" w:hAnsi="Work Sans" w:cs="Times New Roman"/>
                <w:b/>
                <w:bCs/>
                <w:lang w:eastAsia="it-IT"/>
              </w:rPr>
              <w:t>Obiettivo</w:t>
            </w:r>
            <w:r w:rsidRPr="00B3693F">
              <w:rPr>
                <w:rFonts w:ascii="Work Sans" w:eastAsia="Times New Roman" w:hAnsi="Work Sans" w:cs="Times New Roman"/>
                <w:lang w:eastAsia="it-IT"/>
              </w:rPr>
              <w:t xml:space="preserve">: (titolo e descrizione) </w:t>
            </w:r>
          </w:p>
          <w:p w14:paraId="3409F42C" w14:textId="77777777" w:rsidR="00877833" w:rsidRPr="00B3693F" w:rsidRDefault="00877833" w:rsidP="00E676EE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lang w:eastAsia="it-IT"/>
              </w:rPr>
            </w:pPr>
            <w:r w:rsidRPr="00B3693F">
              <w:rPr>
                <w:rFonts w:ascii="Work Sans" w:eastAsia="Times New Roman" w:hAnsi="Work Sans" w:cs="Times New Roman"/>
                <w:b/>
                <w:bCs/>
                <w:lang w:eastAsia="it-IT"/>
              </w:rPr>
              <w:t>Azioni intraprese</w:t>
            </w:r>
            <w:r w:rsidRPr="00B3693F">
              <w:rPr>
                <w:rFonts w:ascii="Work Sans" w:eastAsia="Times New Roman" w:hAnsi="Work Sans" w:cs="Times New Roman"/>
                <w:lang w:eastAsia="it-IT"/>
              </w:rPr>
              <w:t xml:space="preserve">: (descrizione) </w:t>
            </w:r>
          </w:p>
          <w:p w14:paraId="7CE90230" w14:textId="77777777" w:rsidR="00877833" w:rsidRPr="00B3693F" w:rsidRDefault="00877833" w:rsidP="00E676EE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lang w:eastAsia="it-IT"/>
              </w:rPr>
            </w:pPr>
            <w:r w:rsidRPr="00B3693F">
              <w:rPr>
                <w:rFonts w:ascii="Work Sans" w:eastAsia="Times New Roman" w:hAnsi="Work Sans" w:cs="Times New Roman"/>
                <w:b/>
                <w:bCs/>
                <w:lang w:eastAsia="it-IT"/>
              </w:rPr>
              <w:t>Stato di avanzamento dell’azione correttiva</w:t>
            </w:r>
            <w:r w:rsidRPr="00B3693F">
              <w:rPr>
                <w:rFonts w:ascii="Work Sans" w:eastAsia="Times New Roman" w:hAnsi="Work Sans" w:cs="Times New Roman"/>
                <w:lang w:eastAsia="it-IT"/>
              </w:rPr>
              <w:t xml:space="preserve">: </w:t>
            </w:r>
          </w:p>
          <w:p w14:paraId="1205F336" w14:textId="77777777" w:rsidR="00877833" w:rsidRPr="00B3693F" w:rsidRDefault="00877833" w:rsidP="00E676EE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lang w:eastAsia="it-IT"/>
              </w:rPr>
            </w:pPr>
            <w:r w:rsidRPr="00B3693F">
              <w:rPr>
                <w:rFonts w:ascii="Work Sans" w:eastAsia="Times New Roman" w:hAnsi="Work Sans" w:cs="Times New Roman"/>
                <w:i/>
                <w:iCs/>
                <w:lang w:eastAsia="it-IT"/>
              </w:rPr>
              <w:t>Si possono anche esplicitare i motivi dell’eventuale mancato raggiungimento dell’obiettivo individuato. In tal caso si riprogrammerà l’obiettivo per l’anno successivo oppure si espliciteranno le ragioni della sua cancellazione.</w:t>
            </w:r>
          </w:p>
        </w:tc>
        <w:tc>
          <w:tcPr>
            <w:tcW w:w="4538" w:type="dxa"/>
            <w:tcBorders>
              <w:top w:val="single" w:sz="18" w:space="0" w:color="548DD4"/>
              <w:left w:val="single" w:sz="18" w:space="0" w:color="548DD4"/>
              <w:bottom w:val="single" w:sz="18" w:space="0" w:color="548DD4"/>
              <w:right w:val="single" w:sz="18" w:space="0" w:color="548DD4"/>
            </w:tcBorders>
          </w:tcPr>
          <w:p w14:paraId="09501731" w14:textId="77777777" w:rsidR="00877833" w:rsidRPr="00B3693F" w:rsidRDefault="00877833" w:rsidP="00E676EE">
            <w:pPr>
              <w:spacing w:after="200" w:line="276" w:lineRule="auto"/>
              <w:rPr>
                <w:rFonts w:ascii="Work Sans" w:eastAsia="Times New Roman" w:hAnsi="Work Sans" w:cs="Lucida Sans Unicode"/>
                <w:b/>
                <w:color w:val="000000"/>
                <w:lang w:eastAsia="it-IT"/>
              </w:rPr>
            </w:pPr>
          </w:p>
        </w:tc>
      </w:tr>
    </w:tbl>
    <w:p w14:paraId="5C95F223" w14:textId="77777777" w:rsidR="00877833" w:rsidRPr="00E245D9" w:rsidRDefault="00877833" w:rsidP="00CC17FA">
      <w:pPr>
        <w:spacing w:after="0" w:line="240" w:lineRule="auto"/>
        <w:rPr>
          <w:rFonts w:ascii="Work Sans" w:eastAsia="Times New Roman" w:hAnsi="Work Sans" w:cs="Lucida Sans Unicode"/>
          <w:b/>
          <w:color w:val="000000"/>
          <w:lang w:eastAsia="it-IT"/>
        </w:rPr>
      </w:pPr>
    </w:p>
    <w:sectPr w:rsidR="00877833" w:rsidRPr="00E245D9" w:rsidSect="00735A49">
      <w:pgSz w:w="11906" w:h="16838"/>
      <w:pgMar w:top="1418" w:right="99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57B1"/>
    <w:multiLevelType w:val="hybridMultilevel"/>
    <w:tmpl w:val="D65E8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628A3"/>
    <w:multiLevelType w:val="hybridMultilevel"/>
    <w:tmpl w:val="65B69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7EB9"/>
    <w:multiLevelType w:val="hybridMultilevel"/>
    <w:tmpl w:val="276CBC84"/>
    <w:lvl w:ilvl="0" w:tplc="9E7466B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F1897"/>
    <w:multiLevelType w:val="hybridMultilevel"/>
    <w:tmpl w:val="3932A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D2FC0"/>
    <w:multiLevelType w:val="hybridMultilevel"/>
    <w:tmpl w:val="BFB88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73066"/>
    <w:multiLevelType w:val="hybridMultilevel"/>
    <w:tmpl w:val="3D009832"/>
    <w:lvl w:ilvl="0" w:tplc="1EEE06D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63D8C"/>
    <w:multiLevelType w:val="hybridMultilevel"/>
    <w:tmpl w:val="B4E68D32"/>
    <w:lvl w:ilvl="0" w:tplc="CCA2F66E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color w:val="auto"/>
        <w:sz w:val="10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30C82A6E"/>
    <w:multiLevelType w:val="hybridMultilevel"/>
    <w:tmpl w:val="156C3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3259A"/>
    <w:multiLevelType w:val="hybridMultilevel"/>
    <w:tmpl w:val="7B46A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36BFF"/>
    <w:multiLevelType w:val="hybridMultilevel"/>
    <w:tmpl w:val="B26EB6DE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AD4665F"/>
    <w:multiLevelType w:val="hybridMultilevel"/>
    <w:tmpl w:val="11C04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74C8A"/>
    <w:multiLevelType w:val="hybridMultilevel"/>
    <w:tmpl w:val="26527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6E0"/>
    <w:multiLevelType w:val="hybridMultilevel"/>
    <w:tmpl w:val="6ECE5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37BA7"/>
    <w:multiLevelType w:val="hybridMultilevel"/>
    <w:tmpl w:val="D646C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5774F"/>
    <w:multiLevelType w:val="hybridMultilevel"/>
    <w:tmpl w:val="576667BE"/>
    <w:lvl w:ilvl="0" w:tplc="95DEF5AC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3"/>
  </w:num>
  <w:num w:numId="5">
    <w:abstractNumId w:val="8"/>
  </w:num>
  <w:num w:numId="6">
    <w:abstractNumId w:val="10"/>
  </w:num>
  <w:num w:numId="7">
    <w:abstractNumId w:val="1"/>
  </w:num>
  <w:num w:numId="8">
    <w:abstractNumId w:val="0"/>
  </w:num>
  <w:num w:numId="9">
    <w:abstractNumId w:val="12"/>
  </w:num>
  <w:num w:numId="10">
    <w:abstractNumId w:val="4"/>
  </w:num>
  <w:num w:numId="11">
    <w:abstractNumId w:val="6"/>
  </w:num>
  <w:num w:numId="12">
    <w:abstractNumId w:val="2"/>
  </w:num>
  <w:num w:numId="13">
    <w:abstractNumId w:val="11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95"/>
    <w:rsid w:val="0005095C"/>
    <w:rsid w:val="00091A28"/>
    <w:rsid w:val="000E31F4"/>
    <w:rsid w:val="00100F84"/>
    <w:rsid w:val="00124062"/>
    <w:rsid w:val="0014007D"/>
    <w:rsid w:val="00155AA0"/>
    <w:rsid w:val="001970EA"/>
    <w:rsid w:val="00224508"/>
    <w:rsid w:val="002273E7"/>
    <w:rsid w:val="002C5EBF"/>
    <w:rsid w:val="00363787"/>
    <w:rsid w:val="00466A0F"/>
    <w:rsid w:val="004E66B7"/>
    <w:rsid w:val="005101E7"/>
    <w:rsid w:val="0052512D"/>
    <w:rsid w:val="0053614D"/>
    <w:rsid w:val="00586752"/>
    <w:rsid w:val="005B045B"/>
    <w:rsid w:val="00617C51"/>
    <w:rsid w:val="006913F0"/>
    <w:rsid w:val="006F5095"/>
    <w:rsid w:val="00735A49"/>
    <w:rsid w:val="00781AA2"/>
    <w:rsid w:val="008001ED"/>
    <w:rsid w:val="008564CE"/>
    <w:rsid w:val="00877833"/>
    <w:rsid w:val="00936193"/>
    <w:rsid w:val="009C6C1F"/>
    <w:rsid w:val="009D4E54"/>
    <w:rsid w:val="009E299F"/>
    <w:rsid w:val="00A10FAA"/>
    <w:rsid w:val="00A1633F"/>
    <w:rsid w:val="00A56AD8"/>
    <w:rsid w:val="00A641FB"/>
    <w:rsid w:val="00B3693F"/>
    <w:rsid w:val="00BC5835"/>
    <w:rsid w:val="00C0694A"/>
    <w:rsid w:val="00CC17FA"/>
    <w:rsid w:val="00CC3BD5"/>
    <w:rsid w:val="00D000FB"/>
    <w:rsid w:val="00D074EE"/>
    <w:rsid w:val="00D10D57"/>
    <w:rsid w:val="00D27F1E"/>
    <w:rsid w:val="00D96465"/>
    <w:rsid w:val="00DA08B3"/>
    <w:rsid w:val="00DC6339"/>
    <w:rsid w:val="00DF76D9"/>
    <w:rsid w:val="00E01759"/>
    <w:rsid w:val="00E245D9"/>
    <w:rsid w:val="00E70186"/>
    <w:rsid w:val="00FD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E382"/>
  <w15:chartTrackingRefBased/>
  <w15:docId w15:val="{ED10F1AE-0192-4CD7-A948-F13AFEF3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CC17FA"/>
    <w:pPr>
      <w:spacing w:after="0" w:line="240" w:lineRule="auto"/>
    </w:pPr>
    <w:rPr>
      <w:rFonts w:eastAsia="MS Mincho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CC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0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28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0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6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3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9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1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Auletta</dc:creator>
  <cp:keywords/>
  <dc:description/>
  <cp:lastModifiedBy>Sabrina Campetella</cp:lastModifiedBy>
  <cp:revision>9</cp:revision>
  <dcterms:created xsi:type="dcterms:W3CDTF">2023-11-24T10:41:00Z</dcterms:created>
  <dcterms:modified xsi:type="dcterms:W3CDTF">2023-12-07T09:09:00Z</dcterms:modified>
</cp:coreProperties>
</file>