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C6" w:rsidRDefault="003F76C6" w:rsidP="003F76C6">
      <w:pPr>
        <w:pStyle w:val="NormaleWeb"/>
        <w:spacing w:after="0"/>
      </w:pPr>
      <w:r>
        <w:rPr>
          <w:rFonts w:ascii="Verdana" w:hAnsi="Verdana"/>
          <w:b/>
          <w:bCs/>
          <w:color w:val="CC0000"/>
          <w:sz w:val="20"/>
          <w:szCs w:val="20"/>
        </w:rPr>
        <w:t>D.P.R. 11-7-1980 n. 382</w:t>
      </w:r>
      <w:r>
        <w:rPr>
          <w:rFonts w:ascii="Verdana" w:hAnsi="Verdana"/>
          <w:sz w:val="20"/>
          <w:szCs w:val="20"/>
        </w:rPr>
        <w:br/>
        <w:t>Riordinamento della docenza universitaria, relativa fascia di formazione nonché sperimentazione organizzativa e didattica.</w:t>
      </w:r>
      <w:r>
        <w:rPr>
          <w:rFonts w:ascii="Verdana" w:hAnsi="Verdana"/>
          <w:sz w:val="20"/>
          <w:szCs w:val="20"/>
        </w:rPr>
        <w:br/>
        <w:t xml:space="preserve">Pubblicato nella </w:t>
      </w:r>
      <w:proofErr w:type="spellStart"/>
      <w:r>
        <w:rPr>
          <w:rFonts w:ascii="Verdana" w:hAnsi="Verdana"/>
          <w:sz w:val="20"/>
          <w:szCs w:val="20"/>
        </w:rPr>
        <w:t>Gazz</w:t>
      </w:r>
      <w:proofErr w:type="spellEnd"/>
      <w:r>
        <w:rPr>
          <w:rFonts w:ascii="Verdana" w:hAnsi="Verdana"/>
          <w:sz w:val="20"/>
          <w:szCs w:val="20"/>
        </w:rPr>
        <w:t>. Uff. 31 luglio 1980, n. 209, S.O.</w:t>
      </w:r>
    </w:p>
    <w:p w:rsidR="003F76C6" w:rsidRDefault="003F76C6" w:rsidP="003F76C6">
      <w:pPr>
        <w:pStyle w:val="NormaleWeb"/>
        <w:spacing w:after="278"/>
      </w:pPr>
      <w:bookmarkStart w:id="0" w:name="25up"/>
      <w:bookmarkEnd w:id="0"/>
      <w:r>
        <w:rPr>
          <w:rFonts w:ascii="Verdana" w:hAnsi="Verdana"/>
          <w:b/>
          <w:bCs/>
          <w:sz w:val="20"/>
          <w:szCs w:val="20"/>
        </w:rPr>
        <w:t>14.</w:t>
      </w:r>
      <w:r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i/>
          <w:iCs/>
          <w:sz w:val="20"/>
          <w:szCs w:val="20"/>
        </w:rPr>
        <w:t xml:space="preserve">Aspettativa dei professori che passano ad altra amministrazione </w:t>
      </w:r>
      <w:hyperlink r:id="rId5" w:anchor="25" w:history="1">
        <w:r>
          <w:rPr>
            <w:rStyle w:val="Collegamentoipertestuale"/>
            <w:rFonts w:ascii="Verdana" w:hAnsi="Verdana"/>
            <w:i/>
            <w:iCs/>
            <w:sz w:val="20"/>
            <w:szCs w:val="20"/>
            <w:vertAlign w:val="superscript"/>
          </w:rPr>
          <w:t>(25)</w:t>
        </w:r>
      </w:hyperlink>
      <w:r>
        <w:rPr>
          <w:rFonts w:ascii="Verdana" w:hAnsi="Verdana"/>
          <w:i/>
          <w:iCs/>
          <w:sz w:val="20"/>
          <w:szCs w:val="20"/>
        </w:rPr>
        <w:t>.</w:t>
      </w:r>
    </w:p>
    <w:p w:rsidR="003F76C6" w:rsidRDefault="003F76C6" w:rsidP="003F76C6">
      <w:pPr>
        <w:pStyle w:val="NormaleWeb"/>
        <w:spacing w:before="278" w:beforeAutospacing="0" w:after="278"/>
      </w:pPr>
      <w:r>
        <w:rPr>
          <w:rFonts w:ascii="Verdana" w:hAnsi="Verdana"/>
          <w:sz w:val="20"/>
          <w:szCs w:val="20"/>
        </w:rPr>
        <w:t xml:space="preserve">Il professore universitario, che assume un nuovo impiego con altra amministrazione statale o pubblica, è collocato in aspettativa per tutto il periodo di prova richiesto per la conferma in ruolo. Al termine di tale periodo l'interessato può riassumere servizio presso l'Università entro i successivi trenta giorni e, in mancanza, decade dall'ufficio di professore. </w:t>
      </w:r>
    </w:p>
    <w:p w:rsidR="003F76C6" w:rsidRDefault="003F76C6" w:rsidP="003F76C6">
      <w:pPr>
        <w:pStyle w:val="NormaleWeb"/>
        <w:spacing w:before="278" w:beforeAutospacing="0" w:after="278"/>
      </w:pPr>
      <w:r>
        <w:rPr>
          <w:rFonts w:ascii="Verdana" w:hAnsi="Verdana"/>
          <w:sz w:val="20"/>
          <w:szCs w:val="20"/>
        </w:rPr>
        <w:t xml:space="preserve">Il periodo di aspettativa, di cui al precedente comma, non è computabile né ai fini economici né ai fini giuridici. </w:t>
      </w:r>
    </w:p>
    <w:p w:rsidR="003F76C6" w:rsidRDefault="003F76C6" w:rsidP="003F76C6">
      <w:pPr>
        <w:pStyle w:val="NormaleWeb"/>
        <w:spacing w:before="278" w:beforeAutospacing="0" w:after="278"/>
      </w:pPr>
      <w:r>
        <w:rPr>
          <w:rFonts w:ascii="Verdana" w:hAnsi="Verdana"/>
          <w:sz w:val="20"/>
          <w:szCs w:val="20"/>
        </w:rPr>
        <w:t xml:space="preserve">Le stesse norme si applicano agli assistenti del ruolo ad esaurimento. </w:t>
      </w:r>
    </w:p>
    <w:bookmarkStart w:id="1" w:name="25"/>
    <w:bookmarkEnd w:id="1"/>
    <w:p w:rsidR="003F76C6" w:rsidRDefault="003F76C6" w:rsidP="003F76C6">
      <w:pPr>
        <w:pStyle w:val="NormaleWeb"/>
        <w:spacing w:before="278" w:beforeAutospacing="0" w:after="0"/>
      </w:pPr>
      <w:r>
        <w:fldChar w:fldCharType="begin"/>
      </w:r>
      <w:r>
        <w:instrText xml:space="preserve"> HYPERLINK "http://bd01.leggiditalia.it/cgi-bin/FulShow?NONAV=1&amp;NOTXT=1&amp;KEY=01LX0000109754ART14&amp;NAVIPOS=2&amp;DS_POS=0&amp;OPERA=01&amp;" \l "25up" </w:instrText>
      </w:r>
      <w:r>
        <w:fldChar w:fldCharType="separate"/>
      </w:r>
      <w:r>
        <w:rPr>
          <w:rStyle w:val="Collegamentoipertestuale"/>
          <w:rFonts w:ascii="Verdana" w:hAnsi="Verdana"/>
          <w:sz w:val="20"/>
          <w:szCs w:val="20"/>
        </w:rPr>
        <w:t>(25)</w:t>
      </w:r>
      <w:r>
        <w:fldChar w:fldCharType="end"/>
      </w:r>
      <w:r>
        <w:rPr>
          <w:rFonts w:ascii="Verdana" w:hAnsi="Verdana"/>
          <w:sz w:val="20"/>
          <w:szCs w:val="20"/>
        </w:rPr>
        <w:t> Vedi, anche, il comma 9 dell'</w:t>
      </w:r>
      <w:r>
        <w:rPr>
          <w:rFonts w:ascii="Verdana" w:hAnsi="Verdana"/>
          <w:i/>
          <w:iCs/>
          <w:sz w:val="20"/>
          <w:szCs w:val="20"/>
        </w:rPr>
        <w:t xml:space="preserve">art. </w:t>
      </w:r>
      <w:hyperlink r:id="rId6" w:history="1">
        <w:r>
          <w:rPr>
            <w:rStyle w:val="Collegamentoipertestuale"/>
            <w:rFonts w:ascii="Verdana" w:hAnsi="Verdana"/>
            <w:i/>
            <w:iCs/>
            <w:sz w:val="20"/>
            <w:szCs w:val="20"/>
          </w:rPr>
          <w:t>6</w:t>
        </w:r>
      </w:hyperlink>
      <w:r>
        <w:rPr>
          <w:rFonts w:ascii="Verdana" w:hAnsi="Verdana"/>
          <w:i/>
          <w:iCs/>
          <w:sz w:val="20"/>
          <w:szCs w:val="20"/>
        </w:rPr>
        <w:t xml:space="preserve">, </w:t>
      </w:r>
      <w:hyperlink r:id="rId7" w:history="1">
        <w:r>
          <w:rPr>
            <w:rStyle w:val="Collegamentoipertestuale"/>
            <w:rFonts w:ascii="Verdana" w:hAnsi="Verdana"/>
            <w:i/>
            <w:iCs/>
            <w:sz w:val="20"/>
            <w:szCs w:val="20"/>
          </w:rPr>
          <w:t>L. 30 dicembre 2010, n. 240</w:t>
        </w:r>
      </w:hyperlink>
      <w:r>
        <w:rPr>
          <w:rFonts w:ascii="Verdana" w:hAnsi="Verdana"/>
          <w:sz w:val="20"/>
          <w:szCs w:val="20"/>
        </w:rPr>
        <w:t>.</w:t>
      </w:r>
    </w:p>
    <w:p w:rsidR="003F76C6" w:rsidRDefault="003F76C6" w:rsidP="003F76C6">
      <w:pPr>
        <w:pStyle w:val="NormaleWeb"/>
        <w:spacing w:after="0"/>
      </w:pPr>
    </w:p>
    <w:p w:rsidR="009567F4" w:rsidRDefault="009567F4">
      <w:bookmarkStart w:id="2" w:name="_GoBack"/>
      <w:bookmarkEnd w:id="2"/>
    </w:p>
    <w:sectPr w:rsidR="009567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C6"/>
    <w:rsid w:val="003F76C6"/>
    <w:rsid w:val="0095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F76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F76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F76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F7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4615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d01.leggiditalia.it/cgi-bin/FulShow?TIPO=5&amp;NOTXT=1&amp;KEY=01LX0000746158ART24" TargetMode="External"/><Relationship Id="rId5" Type="http://schemas.openxmlformats.org/officeDocument/2006/relationships/hyperlink" Target="http://bd01.leggiditalia.it/cgi-bin/FulShow?NONAV=1&amp;NOTXT=1&amp;KEY=01LX0000109754ART14&amp;NAVIPOS=2&amp;DS_POS=0&amp;OPERA=01&amp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Bellini</dc:creator>
  <cp:keywords/>
  <dc:description/>
  <cp:lastModifiedBy>Bellini</cp:lastModifiedBy>
  <cp:revision>1</cp:revision>
  <dcterms:created xsi:type="dcterms:W3CDTF">2018-12-17T11:55:00Z</dcterms:created>
  <dcterms:modified xsi:type="dcterms:W3CDTF">2018-12-17T11:56:00Z</dcterms:modified>
</cp:coreProperties>
</file>